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询价邀请函</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u w:val="single"/>
          <w:lang w:val="en-US" w:eastAsia="zh-CN"/>
        </w:rPr>
        <w:t xml:space="preserve">            单位（公司）</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w:t>
      </w:r>
      <w:r>
        <w:rPr>
          <w:rFonts w:hint="eastAsia" w:ascii="Times New Roman" w:hAnsi="Times New Roman" w:eastAsia="仿宋_GB2312" w:cs="Times New Roman"/>
          <w:sz w:val="32"/>
          <w:szCs w:val="32"/>
          <w:lang w:val="en-US" w:eastAsia="zh-CN"/>
        </w:rPr>
        <w:t>现</w:t>
      </w:r>
      <w:r>
        <w:rPr>
          <w:rFonts w:hint="default" w:ascii="Times New Roman" w:hAnsi="Times New Roman" w:eastAsia="仿宋_GB2312" w:cs="Times New Roman"/>
          <w:sz w:val="32"/>
          <w:szCs w:val="32"/>
        </w:rPr>
        <w:t>对</w:t>
      </w:r>
      <w:r>
        <w:rPr>
          <w:rFonts w:hint="eastAsia" w:ascii="Times New Roman" w:hAnsi="Times New Roman" w:eastAsia="仿宋_GB2312" w:cs="Times New Roman"/>
          <w:sz w:val="32"/>
          <w:szCs w:val="32"/>
          <w:lang w:val="en-US" w:eastAsia="zh-CN"/>
        </w:rPr>
        <w:t>不</w:t>
      </w:r>
      <w:r>
        <w:rPr>
          <w:rFonts w:hint="default" w:ascii="Times New Roman" w:hAnsi="Times New Roman" w:eastAsia="仿宋_GB2312" w:cs="Times New Roman"/>
          <w:sz w:val="32"/>
          <w:szCs w:val="32"/>
        </w:rPr>
        <w:t>动产登记责任保险项目进行</w:t>
      </w:r>
      <w:r>
        <w:rPr>
          <w:rFonts w:hint="eastAsia" w:ascii="Times New Roman" w:hAnsi="Times New Roman" w:eastAsia="仿宋_GB2312" w:cs="Times New Roman"/>
          <w:sz w:val="32"/>
          <w:szCs w:val="32"/>
          <w:lang w:val="en-US" w:eastAsia="zh-CN"/>
        </w:rPr>
        <w:t>公开</w:t>
      </w:r>
      <w:r>
        <w:rPr>
          <w:rFonts w:hint="default" w:ascii="Times New Roman" w:hAnsi="Times New Roman" w:eastAsia="仿宋_GB2312" w:cs="Times New Roman"/>
          <w:sz w:val="32"/>
          <w:szCs w:val="32"/>
        </w:rPr>
        <w:t>询价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第二次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，邀请符合条件的供应商参加本次询价。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询价方式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反馈</w:t>
      </w:r>
      <w:r>
        <w:rPr>
          <w:rFonts w:hint="eastAsia" w:ascii="Times New Roman" w:hAnsi="Times New Roman" w:eastAsia="仿宋_GB2312" w:cs="Times New Roman"/>
          <w:sz w:val="32"/>
          <w:szCs w:val="32"/>
          <w:lang w:val="en-US" w:eastAsia="zh-CN"/>
        </w:rPr>
        <w:t>不</w:t>
      </w:r>
      <w:r>
        <w:rPr>
          <w:rFonts w:hint="default" w:ascii="Times New Roman" w:hAnsi="Times New Roman" w:eastAsia="仿宋_GB2312" w:cs="Times New Roman"/>
          <w:sz w:val="32"/>
          <w:szCs w:val="32"/>
        </w:rPr>
        <w:t>动产登记责任保险项目报价函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，价低者得。</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询价截止日期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2024年4月18日17:00</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询价要求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参与者应按照</w:t>
      </w:r>
      <w:r>
        <w:rPr>
          <w:rFonts w:hint="eastAsia" w:ascii="Times New Roman" w:hAnsi="Times New Roman" w:eastAsia="仿宋_GB2312" w:cs="Times New Roman"/>
          <w:sz w:val="32"/>
          <w:szCs w:val="32"/>
          <w:lang w:val="en-US" w:eastAsia="zh-CN"/>
        </w:rPr>
        <w:t>附件</w:t>
      </w:r>
      <w:r>
        <w:rPr>
          <w:rFonts w:hint="default" w:ascii="Times New Roman" w:hAnsi="Times New Roman" w:eastAsia="仿宋_GB2312" w:cs="Times New Roman"/>
          <w:sz w:val="32"/>
          <w:szCs w:val="32"/>
        </w:rPr>
        <w:t>文件相关要求准备</w:t>
      </w:r>
      <w:r>
        <w:rPr>
          <w:rFonts w:hint="eastAsia" w:ascii="Times New Roman" w:hAnsi="Times New Roman" w:eastAsia="仿宋_GB2312" w:cs="Times New Roman"/>
          <w:sz w:val="32"/>
          <w:szCs w:val="32"/>
          <w:lang w:val="en-US" w:eastAsia="zh-CN"/>
        </w:rPr>
        <w:t>响应文件、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营业执照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税务登记证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资质证书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复印件、承诺</w:t>
      </w:r>
      <w:r>
        <w:rPr>
          <w:rFonts w:hint="eastAsia" w:ascii="Times New Roman" w:hAnsi="Times New Roman" w:eastAsia="仿宋_GB2312" w:cs="Times New Roman"/>
          <w:sz w:val="32"/>
          <w:szCs w:val="32"/>
          <w:lang w:val="en-US" w:eastAsia="zh-CN"/>
        </w:rPr>
        <w:t>函</w:t>
      </w:r>
      <w:r>
        <w:rPr>
          <w:rFonts w:hint="default" w:ascii="Times New Roman" w:hAnsi="Times New Roman" w:eastAsia="仿宋_GB2312" w:cs="Times New Roman"/>
          <w:sz w:val="32"/>
          <w:szCs w:val="32"/>
        </w:rPr>
        <w:t>与报价函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加盖鲜章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询价材料反馈方式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网上递交，请受邀单位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公司</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将以上资料以PDF格式发送至邮箱</w:t>
      </w:r>
      <w:r>
        <w:rPr>
          <w:rFonts w:hint="eastAsia" w:ascii="Times New Roman" w:hAnsi="Times New Roman" w:eastAsia="仿宋_GB2312" w:cs="Times New Roman"/>
          <w:sz w:val="32"/>
          <w:szCs w:val="32"/>
          <w:lang w:val="en-US" w:eastAsia="zh-CN"/>
        </w:rPr>
        <w:t>332000124@qq.com</w:t>
      </w:r>
      <w:r>
        <w:rPr>
          <w:rFonts w:hint="default" w:ascii="Times New Roman" w:hAnsi="Times New Roman" w:eastAsia="仿宋_GB2312" w:cs="Times New Roman"/>
          <w:sz w:val="32"/>
          <w:szCs w:val="32"/>
        </w:rPr>
        <w:t>或现场递交至广安市</w:t>
      </w:r>
      <w:r>
        <w:rPr>
          <w:rFonts w:hint="eastAsia" w:ascii="Times New Roman" w:hAnsi="Times New Roman" w:eastAsia="仿宋_GB2312" w:cs="Times New Roman"/>
          <w:sz w:val="32"/>
          <w:szCs w:val="32"/>
          <w:lang w:val="en-US" w:eastAsia="zh-CN"/>
        </w:rPr>
        <w:t>不动产登记中心218</w:t>
      </w:r>
      <w:r>
        <w:rPr>
          <w:rFonts w:hint="default" w:ascii="Times New Roman" w:hAnsi="Times New Roman" w:eastAsia="仿宋_GB2312" w:cs="Times New Roman"/>
          <w:sz w:val="32"/>
          <w:szCs w:val="32"/>
        </w:rPr>
        <w:t>办公室。中选结果我们将以邮件的方式告知。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任林灵 </w:t>
      </w:r>
      <w:r>
        <w:rPr>
          <w:rFonts w:hint="default"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17311618811</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righ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0" w:firstLine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广安市</w:t>
      </w:r>
      <w:r>
        <w:rPr>
          <w:rFonts w:hint="eastAsia" w:ascii="Times New Roman" w:hAnsi="Times New Roman" w:eastAsia="仿宋_GB2312" w:cs="Times New Roman"/>
          <w:sz w:val="32"/>
          <w:szCs w:val="32"/>
          <w:lang w:val="en-US" w:eastAsia="zh-CN"/>
        </w:rPr>
        <w:t xml:space="preserve">不动产登记中心    </w:t>
      </w:r>
    </w:p>
    <w:p>
      <w:pPr>
        <w:keepNext w:val="0"/>
        <w:keepLines w:val="0"/>
        <w:pageBreakBefore w:val="0"/>
        <w:widowControl w:val="0"/>
        <w:kinsoku/>
        <w:wordWrap w:val="0"/>
        <w:overflowPunct/>
        <w:topLinePunct w:val="0"/>
        <w:autoSpaceDE/>
        <w:autoSpaceDN/>
        <w:bidi w:val="0"/>
        <w:adjustRightInd/>
        <w:snapToGrid/>
        <w:spacing w:line="570" w:lineRule="exact"/>
        <w:ind w:left="0" w:leftChars="0" w:right="0" w:rightChars="0" w:firstLine="0" w:firstLineChars="0"/>
        <w:jc w:val="right"/>
        <w:textAlignment w:val="auto"/>
        <w:outlineLvl w:val="9"/>
        <w:rPr>
          <w:rFonts w:hint="eastAsia" w:ascii="Times New Roman" w:hAnsi="Times New Roman" w:eastAsia="仿宋_GB2312" w:cs="Times New Roman"/>
          <w:sz w:val="32"/>
          <w:szCs w:val="32"/>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bookmarkStart w:id="38" w:name="_GoBack"/>
      <w:bookmarkEnd w:id="38"/>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 xml:space="preserve">     </w:t>
      </w:r>
    </w:p>
    <w:p>
      <w:pPr>
        <w:keepNext w:val="0"/>
        <w:keepLines w:val="0"/>
        <w:autoSpaceDE w:val="0"/>
        <w:autoSpaceDN w:val="0"/>
        <w:adjustRightInd w:val="0"/>
        <w:spacing w:line="570" w:lineRule="exact"/>
        <w:jc w:val="left"/>
        <w:rPr>
          <w:rFonts w:hint="eastAsia" w:ascii="黑体" w:hAnsi="黑体" w:eastAsia="黑体" w:cs="黑体"/>
          <w:b w:val="0"/>
          <w:bCs/>
          <w:snapToGrid w:val="0"/>
          <w:color w:val="auto"/>
          <w:sz w:val="32"/>
          <w:szCs w:val="32"/>
        </w:rPr>
      </w:pPr>
      <w:r>
        <w:rPr>
          <w:rFonts w:hint="eastAsia" w:ascii="黑体" w:hAnsi="黑体" w:eastAsia="黑体" w:cs="黑体"/>
          <w:b w:val="0"/>
          <w:bCs/>
          <w:color w:val="auto"/>
          <w:sz w:val="32"/>
          <w:szCs w:val="32"/>
        </w:rPr>
        <w:t>附件：</w:t>
      </w:r>
    </w:p>
    <w:p>
      <w:pPr>
        <w:keepNext w:val="0"/>
        <w:keepLines w:val="0"/>
        <w:spacing w:line="570" w:lineRule="exact"/>
        <w:jc w:val="center"/>
        <w:rPr>
          <w:rFonts w:ascii="楷体" w:hAnsi="楷体" w:eastAsia="楷体" w:cs="楷体"/>
          <w:bCs/>
          <w:snapToGrid w:val="0"/>
          <w:color w:val="auto"/>
          <w:sz w:val="44"/>
          <w:szCs w:val="44"/>
        </w:rPr>
      </w:pPr>
      <w:r>
        <w:rPr>
          <w:rFonts w:hint="eastAsia" w:ascii="楷体" w:hAnsi="楷体" w:eastAsia="楷体" w:cs="楷体"/>
          <w:bCs/>
          <w:snapToGrid w:val="0"/>
          <w:color w:val="auto"/>
          <w:sz w:val="44"/>
          <w:szCs w:val="44"/>
        </w:rPr>
        <w:t>广安市不动产登记中心</w:t>
      </w:r>
    </w:p>
    <w:p>
      <w:pPr>
        <w:keepNext w:val="0"/>
        <w:keepLines w:val="0"/>
        <w:autoSpaceDE w:val="0"/>
        <w:autoSpaceDN w:val="0"/>
        <w:adjustRightInd w:val="0"/>
        <w:spacing w:line="570" w:lineRule="exact"/>
        <w:jc w:val="center"/>
        <w:rPr>
          <w:rFonts w:ascii="楷体" w:hAnsi="楷体" w:eastAsia="楷体" w:cs="楷体"/>
          <w:bCs/>
          <w:color w:val="auto"/>
          <w:sz w:val="44"/>
          <w:szCs w:val="44"/>
        </w:rPr>
      </w:pPr>
      <w:r>
        <w:rPr>
          <w:rFonts w:hint="eastAsia" w:ascii="楷体" w:hAnsi="楷体" w:eastAsia="楷体" w:cs="楷体"/>
          <w:bCs/>
          <w:snapToGrid w:val="0"/>
          <w:color w:val="auto"/>
          <w:sz w:val="44"/>
          <w:szCs w:val="44"/>
        </w:rPr>
        <w:t>不动产登记责任保险项目采购要求</w:t>
      </w:r>
    </w:p>
    <w:p>
      <w:pPr>
        <w:pStyle w:val="9"/>
        <w:keepNext w:val="0"/>
        <w:keepLines w:val="0"/>
        <w:spacing w:line="570" w:lineRule="exact"/>
        <w:rPr>
          <w:rFonts w:hint="default" w:eastAsia="仿宋_GB2312"/>
          <w:color w:val="auto"/>
          <w:sz w:val="32"/>
          <w:szCs w:val="32"/>
        </w:rPr>
      </w:pPr>
    </w:p>
    <w:p>
      <w:pPr>
        <w:pStyle w:val="3"/>
        <w:keepNext w:val="0"/>
        <w:keepLines w:val="0"/>
        <w:numPr>
          <w:ilvl w:val="0"/>
          <w:numId w:val="4"/>
        </w:numPr>
        <w:spacing w:before="120" w:after="120" w:line="570" w:lineRule="exact"/>
        <w:rPr>
          <w:rFonts w:ascii="Times New Roman" w:hAnsi="Times New Roman" w:eastAsia="仿宋_GB2312"/>
          <w:color w:val="auto"/>
          <w:szCs w:val="32"/>
        </w:rPr>
      </w:pPr>
      <w:r>
        <w:rPr>
          <w:rFonts w:ascii="Times New Roman" w:hAnsi="Times New Roman" w:eastAsia="仿宋_GB2312"/>
          <w:color w:val="auto"/>
          <w:szCs w:val="32"/>
        </w:rPr>
        <w:t>项目</w:t>
      </w:r>
      <w:r>
        <w:rPr>
          <w:rFonts w:hint="eastAsia" w:ascii="Times New Roman" w:hAnsi="Times New Roman" w:eastAsia="仿宋_GB2312"/>
          <w:color w:val="auto"/>
          <w:szCs w:val="32"/>
        </w:rPr>
        <w:t>概述</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（一）项目名称：广安市不动产登记中心不动产登记责任保险项目。</w:t>
      </w:r>
    </w:p>
    <w:p>
      <w:pPr>
        <w:pStyle w:val="6"/>
        <w:keepNext w:val="0"/>
        <w:keepLines w:val="0"/>
        <w:spacing w:line="510" w:lineRule="exact"/>
        <w:ind w:firstLine="640"/>
        <w:rPr>
          <w:rFonts w:eastAsia="仿宋_GB2312"/>
          <w:color w:val="auto"/>
          <w:sz w:val="32"/>
          <w:szCs w:val="32"/>
        </w:rPr>
      </w:pPr>
      <w:r>
        <w:rPr>
          <w:rFonts w:eastAsia="仿宋_GB2312"/>
          <w:bCs/>
          <w:color w:val="auto"/>
          <w:sz w:val="32"/>
          <w:szCs w:val="32"/>
        </w:rPr>
        <w:t>（二）为进一步降低登记风险，提高不动产登记</w:t>
      </w:r>
      <w:r>
        <w:rPr>
          <w:rFonts w:hint="eastAsia" w:eastAsia="仿宋_GB2312"/>
          <w:bCs/>
          <w:color w:val="auto"/>
          <w:sz w:val="32"/>
          <w:szCs w:val="32"/>
        </w:rPr>
        <w:t>抗风险能力</w:t>
      </w:r>
      <w:r>
        <w:rPr>
          <w:rFonts w:eastAsia="仿宋_GB2312"/>
          <w:bCs/>
          <w:color w:val="auto"/>
          <w:sz w:val="32"/>
          <w:szCs w:val="32"/>
        </w:rPr>
        <w:t>，结合工作实际，通过购买不动产登记责任保险，为不动产登记业务从业人员提供职业风险保障，进一步优化服务质量、提高登记效率，同时更好地保护不动产权利人合法权益、方便企业和服务群众。</w:t>
      </w:r>
    </w:p>
    <w:p>
      <w:pPr>
        <w:pStyle w:val="3"/>
        <w:keepNext w:val="0"/>
        <w:keepLines w:val="0"/>
        <w:spacing w:before="120" w:after="120" w:line="570" w:lineRule="exact"/>
        <w:rPr>
          <w:rFonts w:ascii="Times New Roman" w:hAnsi="Times New Roman" w:eastAsia="仿宋_GB2312"/>
          <w:color w:val="auto"/>
          <w:szCs w:val="32"/>
        </w:rPr>
      </w:pPr>
      <w:r>
        <w:rPr>
          <w:rFonts w:ascii="Times New Roman" w:hAnsi="Times New Roman" w:eastAsia="仿宋_GB2312"/>
          <w:color w:val="auto"/>
          <w:szCs w:val="32"/>
        </w:rPr>
        <w:t>报价要求</w:t>
      </w:r>
    </w:p>
    <w:p>
      <w:pPr>
        <w:pStyle w:val="4"/>
        <w:keepNext w:val="0"/>
        <w:keepLines w:val="0"/>
        <w:numPr>
          <w:ilvl w:val="0"/>
          <w:numId w:val="0"/>
        </w:numPr>
        <w:tabs>
          <w:tab w:val="left" w:pos="360"/>
          <w:tab w:val="clear" w:pos="720"/>
          <w:tab w:val="clear" w:pos="1440"/>
        </w:tabs>
        <w:spacing w:before="120" w:after="120" w:line="570" w:lineRule="exact"/>
        <w:ind w:firstLine="640" w:firstLineChars="200"/>
        <w:jc w:val="both"/>
        <w:rPr>
          <w:rFonts w:ascii="Times New Roman" w:hAnsi="Times New Roman" w:eastAsia="仿宋_GB2312"/>
          <w:b w:val="0"/>
          <w:bCs w:val="0"/>
          <w:color w:val="auto"/>
          <w:sz w:val="32"/>
        </w:rPr>
      </w:pPr>
      <w:r>
        <w:rPr>
          <w:rFonts w:ascii="Times New Roman" w:hAnsi="Times New Roman" w:eastAsia="仿宋_GB2312"/>
          <w:b w:val="0"/>
          <w:bCs w:val="0"/>
          <w:color w:val="auto"/>
          <w:sz w:val="32"/>
        </w:rPr>
        <w:t>1、本次采购实行固定总价承包的报价方式。</w:t>
      </w:r>
    </w:p>
    <w:p>
      <w:pPr>
        <w:pStyle w:val="4"/>
        <w:keepNext w:val="0"/>
        <w:keepLines w:val="0"/>
        <w:numPr>
          <w:ilvl w:val="0"/>
          <w:numId w:val="0"/>
        </w:numPr>
        <w:tabs>
          <w:tab w:val="left" w:pos="360"/>
          <w:tab w:val="clear" w:pos="720"/>
          <w:tab w:val="clear" w:pos="1440"/>
        </w:tabs>
        <w:spacing w:before="120" w:after="120" w:line="570" w:lineRule="exact"/>
        <w:ind w:firstLine="640" w:firstLineChars="200"/>
        <w:jc w:val="both"/>
        <w:rPr>
          <w:rFonts w:ascii="Times New Roman" w:hAnsi="Times New Roman" w:eastAsia="仿宋_GB2312"/>
          <w:b w:val="0"/>
          <w:bCs w:val="0"/>
          <w:color w:val="auto"/>
          <w:sz w:val="32"/>
        </w:rPr>
      </w:pPr>
      <w:r>
        <w:rPr>
          <w:rFonts w:ascii="Times New Roman" w:hAnsi="Times New Roman" w:eastAsia="仿宋_GB2312"/>
          <w:b w:val="0"/>
          <w:bCs w:val="0"/>
          <w:color w:val="auto"/>
          <w:sz w:val="32"/>
        </w:rPr>
        <w:t>2、固定总价承包报价说明。固定总价承包为一次性包干固定不变价，并计入合同。应答人报价时应考虑合同执行过程中的所有因素及风险，在合同执行期间不论发生任何情况或由于任何原因，结算时最终报价不再做任何调整。</w:t>
      </w:r>
    </w:p>
    <w:p>
      <w:pPr>
        <w:pStyle w:val="4"/>
        <w:keepNext w:val="0"/>
        <w:keepLines w:val="0"/>
        <w:numPr>
          <w:ilvl w:val="0"/>
          <w:numId w:val="0"/>
        </w:numPr>
        <w:tabs>
          <w:tab w:val="left" w:pos="360"/>
          <w:tab w:val="clear" w:pos="720"/>
          <w:tab w:val="clear" w:pos="1440"/>
        </w:tabs>
        <w:spacing w:before="120" w:after="120" w:line="570" w:lineRule="exact"/>
        <w:ind w:firstLine="640" w:firstLineChars="200"/>
        <w:jc w:val="both"/>
        <w:rPr>
          <w:rFonts w:ascii="Times New Roman" w:hAnsi="Times New Roman" w:eastAsia="仿宋_GB2312"/>
          <w:b w:val="0"/>
          <w:bCs w:val="0"/>
          <w:color w:val="auto"/>
          <w:sz w:val="32"/>
        </w:rPr>
      </w:pPr>
      <w:r>
        <w:rPr>
          <w:rFonts w:ascii="Times New Roman" w:hAnsi="Times New Roman" w:eastAsia="仿宋_GB2312"/>
          <w:b w:val="0"/>
          <w:bCs w:val="0"/>
          <w:color w:val="auto"/>
          <w:sz w:val="32"/>
        </w:rPr>
        <w:t>3、报价货币：报价应以人民币报价。报价大小写不一致，以</w:t>
      </w:r>
      <w:r>
        <w:rPr>
          <w:rFonts w:hint="eastAsia" w:ascii="Times New Roman" w:hAnsi="Times New Roman" w:eastAsia="仿宋_GB2312"/>
          <w:b w:val="0"/>
          <w:bCs w:val="0"/>
          <w:color w:val="auto"/>
          <w:sz w:val="32"/>
        </w:rPr>
        <w:t>最低价</w:t>
      </w:r>
      <w:r>
        <w:rPr>
          <w:rFonts w:ascii="Times New Roman" w:hAnsi="Times New Roman" w:eastAsia="仿宋_GB2312"/>
          <w:b w:val="0"/>
          <w:bCs w:val="0"/>
          <w:color w:val="auto"/>
          <w:sz w:val="32"/>
        </w:rPr>
        <w:t>为准。</w:t>
      </w:r>
    </w:p>
    <w:p>
      <w:pPr>
        <w:pStyle w:val="2"/>
        <w:keepNext w:val="0"/>
        <w:keepLines w:val="0"/>
        <w:spacing w:before="158" w:line="570" w:lineRule="exact"/>
        <w:ind w:right="311"/>
        <w:rPr>
          <w:rFonts w:eastAsia="仿宋_GB2312"/>
          <w:b/>
          <w:color w:val="auto"/>
          <w:spacing w:val="-1"/>
          <w:sz w:val="32"/>
          <w:szCs w:val="32"/>
        </w:rPr>
      </w:pPr>
      <w:r>
        <w:rPr>
          <w:rFonts w:hint="eastAsia" w:eastAsia="仿宋_GB2312"/>
          <w:b/>
          <w:color w:val="auto"/>
          <w:spacing w:val="-1"/>
          <w:sz w:val="32"/>
          <w:szCs w:val="32"/>
        </w:rPr>
        <w:t>三</w:t>
      </w:r>
      <w:r>
        <w:rPr>
          <w:rFonts w:eastAsia="仿宋_GB2312"/>
          <w:b/>
          <w:color w:val="auto"/>
          <w:spacing w:val="-1"/>
          <w:sz w:val="32"/>
          <w:szCs w:val="32"/>
        </w:rPr>
        <w:t>、商务要求</w:t>
      </w:r>
    </w:p>
    <w:p>
      <w:pPr>
        <w:pStyle w:val="6"/>
        <w:keepNext w:val="0"/>
        <w:keepLines w:val="0"/>
        <w:numPr>
          <w:ilvl w:val="0"/>
          <w:numId w:val="5"/>
        </w:numPr>
        <w:spacing w:line="510" w:lineRule="exact"/>
        <w:ind w:firstLine="640"/>
        <w:rPr>
          <w:rFonts w:eastAsia="仿宋_GB2312"/>
          <w:bCs/>
          <w:color w:val="auto"/>
          <w:sz w:val="32"/>
          <w:szCs w:val="32"/>
        </w:rPr>
      </w:pPr>
      <w:r>
        <w:rPr>
          <w:rFonts w:eastAsia="仿宋_GB2312"/>
          <w:bCs/>
          <w:color w:val="auto"/>
          <w:sz w:val="32"/>
          <w:szCs w:val="32"/>
        </w:rPr>
        <w:t>追溯期：20年。</w:t>
      </w:r>
    </w:p>
    <w:p>
      <w:pPr>
        <w:pStyle w:val="6"/>
        <w:keepNext w:val="0"/>
        <w:keepLines w:val="0"/>
        <w:numPr>
          <w:ilvl w:val="0"/>
          <w:numId w:val="5"/>
        </w:numPr>
        <w:spacing w:line="510" w:lineRule="exact"/>
        <w:ind w:firstLine="640"/>
        <w:rPr>
          <w:rFonts w:eastAsia="仿宋_GB2312"/>
          <w:bCs/>
          <w:color w:val="auto"/>
          <w:sz w:val="32"/>
          <w:szCs w:val="32"/>
        </w:rPr>
      </w:pPr>
      <w:r>
        <w:rPr>
          <w:rFonts w:hint="eastAsia" w:eastAsia="仿宋_GB2312"/>
          <w:bCs/>
          <w:color w:val="auto"/>
          <w:sz w:val="32"/>
          <w:szCs w:val="32"/>
        </w:rPr>
        <w:t>项目招标控制价：260,000元</w:t>
      </w:r>
      <w:r>
        <w:rPr>
          <w:rFonts w:hint="eastAsia" w:eastAsia="仿宋_GB2312"/>
          <w:bCs/>
          <w:color w:val="auto"/>
          <w:sz w:val="32"/>
          <w:szCs w:val="32"/>
          <w:lang w:eastAsia="zh-CN"/>
        </w:rPr>
        <w:t>，</w:t>
      </w:r>
      <w:r>
        <w:rPr>
          <w:rFonts w:hint="eastAsia" w:eastAsia="仿宋_GB2312"/>
          <w:bCs/>
          <w:color w:val="auto"/>
          <w:sz w:val="32"/>
          <w:szCs w:val="32"/>
          <w:lang w:val="en-US" w:eastAsia="zh-CN"/>
        </w:rPr>
        <w:t>大写</w:t>
      </w:r>
      <w:r>
        <w:rPr>
          <w:rFonts w:hint="eastAsia" w:eastAsia="仿宋_GB2312"/>
          <w:bCs/>
          <w:color w:val="auto"/>
          <w:sz w:val="32"/>
          <w:szCs w:val="32"/>
        </w:rPr>
        <w:t>：</w:t>
      </w:r>
      <w:r>
        <w:rPr>
          <w:rFonts w:hint="eastAsia" w:eastAsia="仿宋_GB2312"/>
          <w:bCs/>
          <w:color w:val="auto"/>
          <w:sz w:val="32"/>
          <w:szCs w:val="32"/>
          <w:lang w:val="en-US" w:eastAsia="zh-CN"/>
        </w:rPr>
        <w:t>每年</w:t>
      </w:r>
      <w:r>
        <w:rPr>
          <w:rFonts w:hint="eastAsia" w:eastAsia="仿宋_GB2312"/>
          <w:bCs/>
          <w:color w:val="auto"/>
          <w:sz w:val="32"/>
          <w:szCs w:val="32"/>
        </w:rPr>
        <w:t>贰拾陆万元正。</w:t>
      </w:r>
    </w:p>
    <w:p>
      <w:pPr>
        <w:pStyle w:val="6"/>
        <w:keepNext w:val="0"/>
        <w:keepLines w:val="0"/>
        <w:numPr>
          <w:ilvl w:val="0"/>
          <w:numId w:val="5"/>
        </w:numPr>
        <w:spacing w:line="510" w:lineRule="exact"/>
        <w:ind w:firstLine="640"/>
        <w:jc w:val="left"/>
        <w:rPr>
          <w:rFonts w:eastAsia="仿宋_GB2312"/>
          <w:bCs/>
          <w:color w:val="auto"/>
          <w:sz w:val="32"/>
          <w:szCs w:val="32"/>
        </w:rPr>
      </w:pPr>
      <w:r>
        <w:rPr>
          <w:rFonts w:eastAsia="仿宋_GB2312"/>
          <w:bCs/>
          <w:color w:val="auto"/>
          <w:sz w:val="32"/>
          <w:szCs w:val="32"/>
        </w:rPr>
        <w:t>付款方式：由中标人向采购人提出付款申请并提供发票，采购人收到付款申请后在合同约定期限内一次性向中标人支付（遇节假日顺延）。</w:t>
      </w:r>
    </w:p>
    <w:p>
      <w:pPr>
        <w:pStyle w:val="6"/>
        <w:keepNext w:val="0"/>
        <w:keepLines w:val="0"/>
        <w:numPr>
          <w:ilvl w:val="0"/>
          <w:numId w:val="5"/>
        </w:numPr>
        <w:spacing w:line="510" w:lineRule="exact"/>
        <w:ind w:firstLine="640"/>
        <w:rPr>
          <w:rFonts w:eastAsia="仿宋_GB2312"/>
          <w:color w:val="auto"/>
          <w:sz w:val="32"/>
          <w:szCs w:val="32"/>
        </w:rPr>
      </w:pPr>
      <w:r>
        <w:rPr>
          <w:rFonts w:eastAsia="仿宋_GB2312"/>
          <w:bCs/>
          <w:color w:val="auto"/>
          <w:sz w:val="32"/>
          <w:szCs w:val="32"/>
        </w:rPr>
        <w:t>本项目采购有效期</w:t>
      </w:r>
      <w:r>
        <w:rPr>
          <w:rFonts w:hint="eastAsia" w:eastAsia="仿宋_GB2312"/>
          <w:bCs/>
          <w:color w:val="auto"/>
          <w:sz w:val="32"/>
          <w:szCs w:val="32"/>
          <w:lang w:val="en-US" w:eastAsia="zh-CN"/>
        </w:rPr>
        <w:t>二</w:t>
      </w:r>
      <w:r>
        <w:rPr>
          <w:rFonts w:eastAsia="仿宋_GB2312"/>
          <w:bCs/>
          <w:color w:val="auto"/>
          <w:sz w:val="32"/>
          <w:szCs w:val="32"/>
        </w:rPr>
        <w:t>年，合同一年一签，合同签订即完成投保，达到采购人合同约定的服务要求后，续签合同。</w:t>
      </w:r>
    </w:p>
    <w:p>
      <w:pPr>
        <w:pStyle w:val="6"/>
        <w:keepNext w:val="0"/>
        <w:keepLines w:val="0"/>
        <w:numPr>
          <w:ilvl w:val="0"/>
          <w:numId w:val="5"/>
        </w:numPr>
        <w:spacing w:line="510" w:lineRule="exact"/>
        <w:ind w:firstLine="640"/>
        <w:rPr>
          <w:rFonts w:eastAsia="仿宋_GB2312"/>
          <w:color w:val="auto"/>
          <w:sz w:val="32"/>
          <w:szCs w:val="32"/>
        </w:rPr>
      </w:pPr>
      <w:bookmarkStart w:id="0" w:name="_Hlk97043754"/>
      <w:r>
        <w:rPr>
          <w:rFonts w:hint="eastAsia" w:eastAsia="仿宋_GB2312"/>
          <w:color w:val="auto"/>
          <w:sz w:val="32"/>
          <w:szCs w:val="32"/>
        </w:rPr>
        <w:t>具有</w:t>
      </w:r>
      <w:bookmarkEnd w:id="0"/>
      <w:r>
        <w:rPr>
          <w:rFonts w:eastAsia="仿宋_GB2312"/>
          <w:color w:val="auto"/>
          <w:sz w:val="32"/>
          <w:szCs w:val="32"/>
        </w:rPr>
        <w:t>中国保险监督管理委员会批准经营保险业务许可证（提供复印件）</w:t>
      </w:r>
      <w:r>
        <w:rPr>
          <w:rFonts w:hint="eastAsia" w:eastAsia="仿宋_GB2312"/>
          <w:color w:val="auto"/>
          <w:sz w:val="32"/>
          <w:szCs w:val="32"/>
          <w:lang w:eastAsia="zh-CN"/>
        </w:rPr>
        <w:t>。</w:t>
      </w:r>
    </w:p>
    <w:p>
      <w:pPr>
        <w:pStyle w:val="6"/>
        <w:keepNext w:val="0"/>
        <w:keepLines w:val="0"/>
        <w:numPr>
          <w:ilvl w:val="0"/>
          <w:numId w:val="5"/>
        </w:numPr>
        <w:spacing w:line="510" w:lineRule="exact"/>
        <w:ind w:firstLine="640"/>
        <w:rPr>
          <w:rFonts w:eastAsia="仿宋_GB2312"/>
          <w:color w:val="auto"/>
          <w:sz w:val="32"/>
          <w:szCs w:val="32"/>
        </w:rPr>
      </w:pPr>
      <w:r>
        <w:rPr>
          <w:rFonts w:eastAsia="仿宋_GB2312"/>
          <w:color w:val="auto"/>
          <w:sz w:val="32"/>
          <w:szCs w:val="32"/>
        </w:rPr>
        <w:t>本项目只接受保险分公司或中心支公司</w:t>
      </w:r>
      <w:r>
        <w:rPr>
          <w:rFonts w:hint="eastAsia" w:eastAsia="仿宋_GB2312"/>
          <w:color w:val="auto"/>
          <w:sz w:val="32"/>
          <w:szCs w:val="32"/>
          <w:lang w:val="en-US" w:eastAsia="zh-CN"/>
        </w:rPr>
        <w:t>及</w:t>
      </w:r>
      <w:r>
        <w:rPr>
          <w:rFonts w:eastAsia="仿宋_GB2312"/>
          <w:color w:val="auto"/>
          <w:sz w:val="32"/>
          <w:szCs w:val="32"/>
        </w:rPr>
        <w:t>以上的保险机构投标。投标人为保险公司分支机构的，则该投标人须持有总公司同意参与本项目投标的授权文件（总公司与其分支机构不得同时参加本项目投标，若同时出现同一保险公司的不同分支机构参加本项目投标，则全部按无效投标处理）。</w:t>
      </w:r>
    </w:p>
    <w:p>
      <w:pPr>
        <w:pStyle w:val="3"/>
        <w:keepNext w:val="0"/>
        <w:keepLines w:val="0"/>
        <w:numPr>
          <w:ilvl w:val="0"/>
          <w:numId w:val="0"/>
        </w:numPr>
        <w:spacing w:before="120" w:after="120" w:line="570" w:lineRule="exact"/>
        <w:rPr>
          <w:rFonts w:ascii="Times New Roman" w:hAnsi="Times New Roman" w:eastAsia="仿宋_GB2312"/>
          <w:color w:val="auto"/>
          <w:szCs w:val="32"/>
        </w:rPr>
      </w:pPr>
      <w:r>
        <w:rPr>
          <w:rFonts w:hint="eastAsia" w:ascii="Times New Roman" w:hAnsi="Times New Roman" w:eastAsia="仿宋_GB2312"/>
          <w:color w:val="auto"/>
          <w:szCs w:val="32"/>
        </w:rPr>
        <w:t>四</w:t>
      </w:r>
      <w:r>
        <w:rPr>
          <w:rFonts w:ascii="Times New Roman" w:hAnsi="Times New Roman" w:eastAsia="仿宋_GB2312"/>
          <w:color w:val="auto"/>
          <w:szCs w:val="32"/>
        </w:rPr>
        <w:t>、服务要求</w:t>
      </w:r>
    </w:p>
    <w:p>
      <w:pPr>
        <w:pStyle w:val="6"/>
        <w:keepNext w:val="0"/>
        <w:keepLines w:val="0"/>
        <w:spacing w:line="510" w:lineRule="exact"/>
        <w:ind w:firstLine="640"/>
        <w:rPr>
          <w:rFonts w:eastAsia="仿宋_GB2312"/>
          <w:bCs/>
          <w:color w:val="auto"/>
          <w:sz w:val="32"/>
          <w:szCs w:val="32"/>
        </w:rPr>
      </w:pPr>
      <w:bookmarkStart w:id="1" w:name="_Toc80074749"/>
      <w:bookmarkStart w:id="2" w:name="_Toc80078028"/>
      <w:bookmarkStart w:id="3" w:name="_Toc80072739"/>
      <w:bookmarkStart w:id="4" w:name="_Toc470001500"/>
      <w:bookmarkStart w:id="5" w:name="_Toc80075920"/>
      <w:bookmarkStart w:id="6" w:name="_Toc80074851"/>
      <w:bookmarkStart w:id="7" w:name="_Toc80077439"/>
      <w:bookmarkStart w:id="8" w:name="_Toc80078411"/>
      <w:bookmarkStart w:id="9" w:name="_Toc80078130"/>
      <w:bookmarkStart w:id="10" w:name="_Toc217"/>
      <w:bookmarkStart w:id="11" w:name="_Toc43526127"/>
      <w:bookmarkStart w:id="12" w:name="_Toc80064999"/>
      <w:r>
        <w:rPr>
          <w:rFonts w:eastAsia="仿宋_GB2312"/>
          <w:bCs/>
          <w:color w:val="auto"/>
          <w:sz w:val="32"/>
          <w:szCs w:val="32"/>
        </w:rPr>
        <w:t>（一）保险责任（理赔范围）</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1.登记错误</w:t>
      </w:r>
      <w:r>
        <w:rPr>
          <w:rFonts w:hint="eastAsia" w:eastAsia="仿宋_GB2312"/>
          <w:bCs/>
          <w:color w:val="auto"/>
          <w:sz w:val="32"/>
          <w:szCs w:val="32"/>
        </w:rPr>
        <w:t>（</w:t>
      </w:r>
      <w:r>
        <w:rPr>
          <w:rFonts w:hint="eastAsia" w:eastAsia="仿宋_GB2312"/>
          <w:bCs/>
          <w:color w:val="auto"/>
          <w:sz w:val="32"/>
          <w:szCs w:val="32"/>
          <w:lang w:val="en-US" w:eastAsia="zh-CN"/>
        </w:rPr>
        <w:t>包括全部</w:t>
      </w:r>
      <w:r>
        <w:rPr>
          <w:rFonts w:hint="eastAsia" w:eastAsia="仿宋_GB2312"/>
          <w:bCs/>
          <w:color w:val="auto"/>
          <w:sz w:val="32"/>
          <w:szCs w:val="32"/>
        </w:rPr>
        <w:t>不动产登记</w:t>
      </w:r>
      <w:r>
        <w:rPr>
          <w:rFonts w:hint="eastAsia" w:eastAsia="仿宋_GB2312"/>
          <w:bCs/>
          <w:color w:val="auto"/>
          <w:sz w:val="32"/>
          <w:szCs w:val="32"/>
          <w:lang w:val="en-US" w:eastAsia="zh-CN"/>
        </w:rPr>
        <w:t>相关</w:t>
      </w:r>
      <w:r>
        <w:rPr>
          <w:rFonts w:hint="eastAsia" w:eastAsia="仿宋_GB2312"/>
          <w:bCs/>
          <w:color w:val="auto"/>
          <w:sz w:val="32"/>
          <w:szCs w:val="32"/>
        </w:rPr>
        <w:t>业务）</w:t>
      </w:r>
      <w:r>
        <w:rPr>
          <w:rFonts w:eastAsia="仿宋_GB2312"/>
          <w:bCs/>
          <w:color w:val="auto"/>
          <w:sz w:val="32"/>
          <w:szCs w:val="32"/>
        </w:rPr>
        <w:t>造成的损害赔偿。在保险期间内或保险合同载明的追溯期内，除故意造成登记错误赔偿外（保险公司对故意承担举证责任），保险对象及其从事不动产登记的工作人员在办理不动产登记</w:t>
      </w:r>
      <w:r>
        <w:rPr>
          <w:rFonts w:hint="eastAsia" w:eastAsia="仿宋_GB2312"/>
          <w:bCs/>
          <w:color w:val="auto"/>
          <w:sz w:val="32"/>
          <w:szCs w:val="32"/>
          <w:lang w:val="en-US" w:eastAsia="zh-CN"/>
        </w:rPr>
        <w:t>相关</w:t>
      </w:r>
      <w:r>
        <w:rPr>
          <w:rFonts w:eastAsia="仿宋_GB2312"/>
          <w:bCs/>
          <w:color w:val="auto"/>
          <w:sz w:val="32"/>
          <w:szCs w:val="32"/>
        </w:rPr>
        <w:t>业务时，</w:t>
      </w:r>
      <w:r>
        <w:rPr>
          <w:rFonts w:hint="eastAsia" w:eastAsia="仿宋_GB2312"/>
          <w:bCs/>
          <w:color w:val="auto"/>
          <w:sz w:val="32"/>
          <w:szCs w:val="32"/>
        </w:rPr>
        <w:t>因登记错误致当事人损害的直接经济损失，保险公司负责全额赔偿</w:t>
      </w:r>
      <w:r>
        <w:rPr>
          <w:rFonts w:eastAsia="仿宋_GB2312"/>
          <w:bCs/>
          <w:color w:val="auto"/>
          <w:sz w:val="32"/>
          <w:szCs w:val="32"/>
        </w:rPr>
        <w:t>。</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2.法律费用。保险对象因登记错误而被提起诉讼、仲裁或复议所支付的律师代理费用、诉讼费用等其他必要的、合理的法律费用，保险公司负责</w:t>
      </w:r>
      <w:r>
        <w:rPr>
          <w:rFonts w:hint="eastAsia" w:eastAsia="仿宋_GB2312"/>
          <w:bCs/>
          <w:color w:val="auto"/>
          <w:sz w:val="32"/>
          <w:szCs w:val="32"/>
        </w:rPr>
        <w:t>全额</w:t>
      </w:r>
      <w:r>
        <w:rPr>
          <w:rFonts w:eastAsia="仿宋_GB2312"/>
          <w:bCs/>
          <w:color w:val="auto"/>
          <w:sz w:val="32"/>
          <w:szCs w:val="32"/>
        </w:rPr>
        <w:t>赔偿。</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（二）服务内容及要求</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1.保险对象：</w:t>
      </w:r>
      <w:r>
        <w:rPr>
          <w:rFonts w:hint="eastAsia" w:eastAsia="仿宋_GB2312"/>
          <w:bCs/>
          <w:color w:val="auto"/>
          <w:sz w:val="32"/>
          <w:szCs w:val="32"/>
          <w:lang w:val="en-US" w:eastAsia="zh-CN"/>
        </w:rPr>
        <w:t>广安市自然资源和规划局、</w:t>
      </w:r>
      <w:r>
        <w:rPr>
          <w:rFonts w:eastAsia="仿宋_GB2312"/>
          <w:bCs/>
          <w:color w:val="auto"/>
          <w:sz w:val="32"/>
          <w:szCs w:val="32"/>
        </w:rPr>
        <w:t>广安市不动产登记中心及其从事不动产登记</w:t>
      </w:r>
      <w:r>
        <w:rPr>
          <w:rFonts w:hint="eastAsia" w:eastAsia="仿宋_GB2312"/>
          <w:bCs/>
          <w:color w:val="auto"/>
          <w:sz w:val="32"/>
          <w:szCs w:val="32"/>
          <w:lang w:val="en-US" w:eastAsia="zh-CN"/>
        </w:rPr>
        <w:t>相关</w:t>
      </w:r>
      <w:r>
        <w:rPr>
          <w:rFonts w:eastAsia="仿宋_GB2312"/>
          <w:bCs/>
          <w:color w:val="auto"/>
          <w:sz w:val="32"/>
          <w:szCs w:val="32"/>
        </w:rPr>
        <w:t>业务的工作人员（含编制人员、劳务派遣人员以及被广安市不动产登记中心授权办理不动产登记</w:t>
      </w:r>
      <w:r>
        <w:rPr>
          <w:rFonts w:hint="eastAsia" w:eastAsia="仿宋_GB2312"/>
          <w:bCs/>
          <w:color w:val="auto"/>
          <w:sz w:val="32"/>
          <w:szCs w:val="32"/>
          <w:lang w:val="en-US" w:eastAsia="zh-CN"/>
        </w:rPr>
        <w:t>相关</w:t>
      </w:r>
      <w:r>
        <w:rPr>
          <w:rFonts w:eastAsia="仿宋_GB2312"/>
          <w:bCs/>
          <w:color w:val="auto"/>
          <w:sz w:val="32"/>
          <w:szCs w:val="32"/>
        </w:rPr>
        <w:t>业务的其他人员）。</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2.保险缴费：由广安市不动产登记中心实施采购并统一支付保险费。</w:t>
      </w:r>
    </w:p>
    <w:p>
      <w:pPr>
        <w:pStyle w:val="6"/>
        <w:keepNext w:val="0"/>
        <w:keepLines w:val="0"/>
        <w:spacing w:line="510" w:lineRule="exact"/>
        <w:ind w:firstLine="640"/>
        <w:jc w:val="both"/>
        <w:rPr>
          <w:rFonts w:eastAsia="仿宋_GB2312"/>
          <w:bCs/>
          <w:snapToGrid w:val="0"/>
          <w:color w:val="auto"/>
          <w:sz w:val="32"/>
          <w:szCs w:val="32"/>
        </w:rPr>
      </w:pPr>
      <w:r>
        <w:rPr>
          <w:rFonts w:eastAsia="仿宋_GB2312"/>
          <w:bCs/>
          <w:snapToGrid w:val="0"/>
          <w:color w:val="auto"/>
          <w:sz w:val="32"/>
          <w:szCs w:val="32"/>
        </w:rPr>
        <w:t>3.被保险人：被保险人为广安市不动产登记中心。</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4.保险责任限额：投保后能够获得赔偿的最高金额，最终以保险合同为准，初步确定为：</w:t>
      </w:r>
    </w:p>
    <w:tbl>
      <w:tblPr>
        <w:tblStyle w:val="10"/>
        <w:tblW w:w="8330" w:type="dxa"/>
        <w:tblInd w:w="0" w:type="dxa"/>
        <w:tblLayout w:type="fixed"/>
        <w:tblCellMar>
          <w:top w:w="0" w:type="dxa"/>
          <w:left w:w="108" w:type="dxa"/>
          <w:bottom w:w="0" w:type="dxa"/>
          <w:right w:w="108" w:type="dxa"/>
        </w:tblCellMar>
      </w:tblPr>
      <w:tblGrid>
        <w:gridCol w:w="2235"/>
        <w:gridCol w:w="1842"/>
        <w:gridCol w:w="4253"/>
      </w:tblGrid>
      <w:tr>
        <w:tblPrEx>
          <w:tblCellMar>
            <w:top w:w="0" w:type="dxa"/>
            <w:left w:w="108" w:type="dxa"/>
            <w:bottom w:w="0" w:type="dxa"/>
            <w:right w:w="108" w:type="dxa"/>
          </w:tblCellMar>
        </w:tblPrEx>
        <w:trPr>
          <w:trHeight w:val="446" w:hRule="atLeast"/>
        </w:trPr>
        <w:tc>
          <w:tcPr>
            <w:tcW w:w="4077" w:type="dxa"/>
            <w:gridSpan w:val="2"/>
            <w:tcBorders>
              <w:top w:val="single" w:color="auto" w:sz="4" w:space="0"/>
              <w:left w:val="single" w:color="auto" w:sz="4" w:space="0"/>
              <w:right w:val="single" w:color="auto" w:sz="4" w:space="0"/>
            </w:tcBorders>
            <w:vAlign w:val="center"/>
          </w:tcPr>
          <w:p>
            <w:pPr>
              <w:pStyle w:val="6"/>
              <w:keepNext w:val="0"/>
              <w:keepLines w:val="0"/>
              <w:spacing w:line="510" w:lineRule="exact"/>
              <w:ind w:firstLine="0" w:firstLineChars="0"/>
              <w:jc w:val="left"/>
              <w:rPr>
                <w:rFonts w:eastAsia="仿宋_GB2312"/>
                <w:bCs/>
                <w:color w:val="auto"/>
                <w:sz w:val="32"/>
                <w:szCs w:val="32"/>
              </w:rPr>
            </w:pPr>
            <w:r>
              <w:rPr>
                <w:rFonts w:eastAsia="仿宋_GB2312"/>
                <w:bCs/>
                <w:color w:val="auto"/>
                <w:sz w:val="32"/>
                <w:szCs w:val="32"/>
              </w:rPr>
              <w:t>保险责任限额</w:t>
            </w:r>
          </w:p>
        </w:tc>
        <w:tc>
          <w:tcPr>
            <w:tcW w:w="4253" w:type="dxa"/>
            <w:tcBorders>
              <w:top w:val="single" w:color="auto" w:sz="4" w:space="0"/>
              <w:left w:val="nil"/>
              <w:right w:val="single" w:color="auto" w:sz="4" w:space="0"/>
            </w:tcBorders>
            <w:vAlign w:val="center"/>
          </w:tcPr>
          <w:p>
            <w:pPr>
              <w:pStyle w:val="6"/>
              <w:keepNext w:val="0"/>
              <w:keepLines w:val="0"/>
              <w:spacing w:line="510" w:lineRule="exact"/>
              <w:ind w:firstLine="0" w:firstLineChars="0"/>
              <w:jc w:val="left"/>
              <w:rPr>
                <w:rFonts w:eastAsia="仿宋_GB2312"/>
                <w:bCs/>
                <w:color w:val="auto"/>
                <w:sz w:val="32"/>
                <w:szCs w:val="32"/>
              </w:rPr>
            </w:pPr>
            <w:r>
              <w:rPr>
                <w:rFonts w:eastAsia="仿宋_GB2312"/>
                <w:bCs/>
                <w:color w:val="auto"/>
                <w:sz w:val="32"/>
                <w:szCs w:val="32"/>
              </w:rPr>
              <w:t>说明</w:t>
            </w:r>
          </w:p>
        </w:tc>
      </w:tr>
      <w:tr>
        <w:tblPrEx>
          <w:tblCellMar>
            <w:top w:w="0" w:type="dxa"/>
            <w:left w:w="108" w:type="dxa"/>
            <w:bottom w:w="0" w:type="dxa"/>
            <w:right w:w="108" w:type="dxa"/>
          </w:tblCellMar>
        </w:tblPrEx>
        <w:trPr>
          <w:trHeight w:val="657" w:hRule="atLeast"/>
        </w:trPr>
        <w:tc>
          <w:tcPr>
            <w:tcW w:w="223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spacing w:line="510" w:lineRule="exact"/>
              <w:ind w:firstLine="0" w:firstLineChars="0"/>
              <w:jc w:val="left"/>
              <w:rPr>
                <w:rFonts w:eastAsia="仿宋_GB2312"/>
                <w:bCs/>
                <w:color w:val="auto"/>
                <w:sz w:val="28"/>
                <w:szCs w:val="28"/>
              </w:rPr>
            </w:pPr>
            <w:r>
              <w:rPr>
                <w:rFonts w:eastAsia="仿宋_GB2312"/>
                <w:bCs/>
                <w:color w:val="auto"/>
                <w:sz w:val="28"/>
                <w:szCs w:val="28"/>
              </w:rPr>
              <w:t>年度累计责任限额</w:t>
            </w:r>
          </w:p>
        </w:tc>
        <w:tc>
          <w:tcPr>
            <w:tcW w:w="1842" w:type="dxa"/>
            <w:tcBorders>
              <w:top w:val="single" w:color="auto" w:sz="4" w:space="0"/>
              <w:left w:val="nil"/>
              <w:bottom w:val="single" w:color="auto" w:sz="4" w:space="0"/>
              <w:right w:val="single" w:color="auto" w:sz="4" w:space="0"/>
            </w:tcBorders>
            <w:vAlign w:val="center"/>
          </w:tcPr>
          <w:p>
            <w:pPr>
              <w:pStyle w:val="6"/>
              <w:keepNext w:val="0"/>
              <w:keepLines w:val="0"/>
              <w:spacing w:line="510" w:lineRule="exact"/>
              <w:ind w:firstLine="0" w:firstLineChars="0"/>
              <w:jc w:val="left"/>
              <w:rPr>
                <w:rFonts w:eastAsia="仿宋_GB2312"/>
                <w:bCs/>
                <w:color w:val="auto"/>
                <w:sz w:val="28"/>
                <w:szCs w:val="28"/>
              </w:rPr>
            </w:pPr>
            <w:r>
              <w:rPr>
                <w:rFonts w:eastAsia="仿宋_GB2312"/>
                <w:bCs/>
                <w:color w:val="auto"/>
                <w:sz w:val="28"/>
                <w:szCs w:val="28"/>
              </w:rPr>
              <w:t>1000万元/年</w:t>
            </w:r>
          </w:p>
        </w:tc>
        <w:tc>
          <w:tcPr>
            <w:tcW w:w="4253" w:type="dxa"/>
            <w:tcBorders>
              <w:top w:val="single" w:color="auto" w:sz="4" w:space="0"/>
              <w:left w:val="nil"/>
              <w:bottom w:val="single" w:color="auto" w:sz="4" w:space="0"/>
              <w:right w:val="single" w:color="auto" w:sz="4" w:space="0"/>
            </w:tcBorders>
          </w:tcPr>
          <w:p>
            <w:pPr>
              <w:pStyle w:val="6"/>
              <w:keepNext w:val="0"/>
              <w:keepLines w:val="0"/>
              <w:spacing w:line="510" w:lineRule="exact"/>
              <w:ind w:firstLine="0" w:firstLineChars="0"/>
              <w:jc w:val="left"/>
              <w:rPr>
                <w:rFonts w:eastAsia="仿宋_GB2312"/>
                <w:bCs/>
                <w:color w:val="auto"/>
                <w:sz w:val="28"/>
                <w:szCs w:val="28"/>
              </w:rPr>
            </w:pPr>
            <w:r>
              <w:rPr>
                <w:rFonts w:eastAsia="仿宋_GB2312"/>
                <w:bCs/>
                <w:color w:val="auto"/>
                <w:sz w:val="28"/>
                <w:szCs w:val="28"/>
              </w:rPr>
              <w:t>在保险期间内，保险公司对多次事故损失的累计赔偿金额不超过累计责任限额1000万元。</w:t>
            </w:r>
          </w:p>
        </w:tc>
      </w:tr>
      <w:tr>
        <w:tblPrEx>
          <w:tblCellMar>
            <w:top w:w="0" w:type="dxa"/>
            <w:left w:w="108" w:type="dxa"/>
            <w:bottom w:w="0" w:type="dxa"/>
            <w:right w:w="108" w:type="dxa"/>
          </w:tblCellMar>
        </w:tblPrEx>
        <w:trPr>
          <w:trHeight w:val="657" w:hRule="atLeast"/>
        </w:trPr>
        <w:tc>
          <w:tcPr>
            <w:tcW w:w="223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spacing w:line="510" w:lineRule="exact"/>
              <w:ind w:firstLine="0" w:firstLineChars="0"/>
              <w:jc w:val="left"/>
              <w:rPr>
                <w:rFonts w:eastAsia="仿宋_GB2312"/>
                <w:bCs/>
                <w:color w:val="auto"/>
                <w:sz w:val="28"/>
                <w:szCs w:val="28"/>
              </w:rPr>
            </w:pPr>
            <w:r>
              <w:rPr>
                <w:rFonts w:eastAsia="仿宋_GB2312"/>
                <w:bCs/>
                <w:color w:val="auto"/>
                <w:sz w:val="28"/>
                <w:szCs w:val="28"/>
              </w:rPr>
              <w:t>每次事故责任限额</w:t>
            </w:r>
          </w:p>
        </w:tc>
        <w:tc>
          <w:tcPr>
            <w:tcW w:w="1842" w:type="dxa"/>
            <w:tcBorders>
              <w:top w:val="single" w:color="auto" w:sz="4" w:space="0"/>
              <w:left w:val="nil"/>
              <w:bottom w:val="single" w:color="auto" w:sz="4" w:space="0"/>
              <w:right w:val="single" w:color="auto" w:sz="4" w:space="0"/>
            </w:tcBorders>
            <w:vAlign w:val="center"/>
          </w:tcPr>
          <w:p>
            <w:pPr>
              <w:pStyle w:val="6"/>
              <w:keepNext w:val="0"/>
              <w:keepLines w:val="0"/>
              <w:spacing w:line="510" w:lineRule="exact"/>
              <w:ind w:firstLine="0" w:firstLineChars="0"/>
              <w:jc w:val="left"/>
              <w:rPr>
                <w:rFonts w:eastAsia="仿宋_GB2312"/>
                <w:bCs/>
                <w:color w:val="auto"/>
                <w:sz w:val="28"/>
                <w:szCs w:val="28"/>
              </w:rPr>
            </w:pPr>
            <w:r>
              <w:rPr>
                <w:rFonts w:eastAsia="仿宋_GB2312"/>
                <w:bCs/>
                <w:color w:val="auto"/>
                <w:sz w:val="28"/>
                <w:szCs w:val="28"/>
              </w:rPr>
              <w:t>200万元/次</w:t>
            </w:r>
          </w:p>
        </w:tc>
        <w:tc>
          <w:tcPr>
            <w:tcW w:w="4253" w:type="dxa"/>
            <w:tcBorders>
              <w:top w:val="single" w:color="auto" w:sz="4" w:space="0"/>
              <w:left w:val="nil"/>
              <w:bottom w:val="single" w:color="auto" w:sz="4" w:space="0"/>
              <w:right w:val="single" w:color="auto" w:sz="4" w:space="0"/>
            </w:tcBorders>
          </w:tcPr>
          <w:p>
            <w:pPr>
              <w:pStyle w:val="6"/>
              <w:keepNext w:val="0"/>
              <w:keepLines w:val="0"/>
              <w:spacing w:line="510" w:lineRule="exact"/>
              <w:ind w:firstLine="0" w:firstLineChars="0"/>
              <w:jc w:val="left"/>
              <w:rPr>
                <w:rFonts w:eastAsia="仿宋_GB2312"/>
                <w:bCs/>
                <w:color w:val="auto"/>
                <w:sz w:val="28"/>
                <w:szCs w:val="28"/>
              </w:rPr>
            </w:pPr>
            <w:r>
              <w:rPr>
                <w:rFonts w:eastAsia="仿宋_GB2312"/>
                <w:bCs/>
                <w:color w:val="auto"/>
                <w:sz w:val="28"/>
                <w:szCs w:val="28"/>
              </w:rPr>
              <w:t>对于每次事故造成的损失，保险公司在每次事故责任限额200万元内进行赔偿。</w:t>
            </w:r>
          </w:p>
        </w:tc>
      </w:tr>
      <w:tr>
        <w:tblPrEx>
          <w:tblCellMar>
            <w:top w:w="0" w:type="dxa"/>
            <w:left w:w="108" w:type="dxa"/>
            <w:bottom w:w="0" w:type="dxa"/>
            <w:right w:w="108" w:type="dxa"/>
          </w:tblCellMar>
        </w:tblPrEx>
        <w:trPr>
          <w:trHeight w:val="657" w:hRule="atLeast"/>
        </w:trPr>
        <w:tc>
          <w:tcPr>
            <w:tcW w:w="223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spacing w:line="510" w:lineRule="exact"/>
              <w:ind w:firstLine="0" w:firstLineChars="0"/>
              <w:jc w:val="left"/>
              <w:rPr>
                <w:rFonts w:eastAsia="仿宋_GB2312"/>
                <w:bCs/>
                <w:color w:val="auto"/>
                <w:sz w:val="28"/>
                <w:szCs w:val="28"/>
              </w:rPr>
            </w:pPr>
            <w:r>
              <w:rPr>
                <w:rFonts w:eastAsia="仿宋_GB2312"/>
                <w:bCs/>
                <w:color w:val="auto"/>
                <w:sz w:val="28"/>
                <w:szCs w:val="28"/>
              </w:rPr>
              <w:t>每次事故法律费用责任限额</w:t>
            </w:r>
          </w:p>
        </w:tc>
        <w:tc>
          <w:tcPr>
            <w:tcW w:w="1842" w:type="dxa"/>
            <w:tcBorders>
              <w:top w:val="single" w:color="auto" w:sz="4" w:space="0"/>
              <w:left w:val="nil"/>
              <w:bottom w:val="single" w:color="auto" w:sz="4" w:space="0"/>
              <w:right w:val="single" w:color="auto" w:sz="4" w:space="0"/>
            </w:tcBorders>
            <w:vAlign w:val="center"/>
          </w:tcPr>
          <w:p>
            <w:pPr>
              <w:pStyle w:val="6"/>
              <w:keepNext w:val="0"/>
              <w:keepLines w:val="0"/>
              <w:spacing w:line="510" w:lineRule="exact"/>
              <w:ind w:firstLine="0" w:firstLineChars="0"/>
              <w:jc w:val="left"/>
              <w:rPr>
                <w:rFonts w:eastAsia="仿宋_GB2312"/>
                <w:bCs/>
                <w:color w:val="auto"/>
                <w:sz w:val="28"/>
                <w:szCs w:val="28"/>
              </w:rPr>
            </w:pPr>
            <w:r>
              <w:rPr>
                <w:rFonts w:hint="eastAsia" w:eastAsia="仿宋_GB2312"/>
                <w:bCs/>
                <w:color w:val="auto"/>
                <w:sz w:val="28"/>
                <w:szCs w:val="28"/>
              </w:rPr>
              <w:t>10万元/次</w:t>
            </w:r>
          </w:p>
        </w:tc>
        <w:tc>
          <w:tcPr>
            <w:tcW w:w="4253" w:type="dxa"/>
            <w:tcBorders>
              <w:top w:val="single" w:color="auto" w:sz="4" w:space="0"/>
              <w:left w:val="nil"/>
              <w:bottom w:val="single" w:color="auto" w:sz="4" w:space="0"/>
              <w:right w:val="single" w:color="auto" w:sz="4" w:space="0"/>
            </w:tcBorders>
          </w:tcPr>
          <w:p>
            <w:pPr>
              <w:pStyle w:val="6"/>
              <w:keepNext w:val="0"/>
              <w:keepLines w:val="0"/>
              <w:spacing w:line="510" w:lineRule="exact"/>
              <w:ind w:firstLine="0" w:firstLineChars="0"/>
              <w:jc w:val="left"/>
              <w:rPr>
                <w:rFonts w:eastAsia="仿宋_GB2312"/>
                <w:bCs/>
                <w:color w:val="auto"/>
                <w:sz w:val="28"/>
                <w:szCs w:val="28"/>
              </w:rPr>
            </w:pPr>
            <w:r>
              <w:rPr>
                <w:rFonts w:hint="eastAsia" w:eastAsia="仿宋_GB2312"/>
                <w:bCs/>
                <w:color w:val="auto"/>
                <w:sz w:val="28"/>
                <w:szCs w:val="28"/>
              </w:rPr>
              <w:t>对</w:t>
            </w:r>
            <w:r>
              <w:rPr>
                <w:rFonts w:eastAsia="仿宋_GB2312"/>
                <w:bCs/>
                <w:color w:val="auto"/>
                <w:sz w:val="28"/>
                <w:szCs w:val="28"/>
              </w:rPr>
              <w:t>法律费用的赔偿，保险</w:t>
            </w:r>
            <w:r>
              <w:rPr>
                <w:rFonts w:hint="eastAsia" w:eastAsia="仿宋_GB2312"/>
                <w:bCs/>
                <w:color w:val="auto"/>
                <w:sz w:val="28"/>
                <w:szCs w:val="28"/>
              </w:rPr>
              <w:t>公司</w:t>
            </w:r>
            <w:r>
              <w:rPr>
                <w:rFonts w:eastAsia="仿宋_GB2312"/>
                <w:bCs/>
                <w:color w:val="auto"/>
                <w:sz w:val="28"/>
                <w:szCs w:val="28"/>
              </w:rPr>
              <w:t>在每次事故法律费用责任限额</w:t>
            </w:r>
            <w:r>
              <w:rPr>
                <w:rFonts w:hint="eastAsia" w:eastAsia="仿宋_GB2312"/>
                <w:bCs/>
                <w:color w:val="auto"/>
                <w:sz w:val="28"/>
                <w:szCs w:val="28"/>
              </w:rPr>
              <w:t>10万元</w:t>
            </w:r>
            <w:r>
              <w:rPr>
                <w:rFonts w:eastAsia="仿宋_GB2312"/>
                <w:bCs/>
                <w:color w:val="auto"/>
                <w:sz w:val="28"/>
                <w:szCs w:val="28"/>
              </w:rPr>
              <w:t>内</w:t>
            </w:r>
            <w:r>
              <w:rPr>
                <w:rFonts w:hint="eastAsia" w:eastAsia="仿宋_GB2312"/>
                <w:bCs/>
                <w:color w:val="auto"/>
                <w:sz w:val="28"/>
                <w:szCs w:val="28"/>
              </w:rPr>
              <w:t>进行</w:t>
            </w:r>
            <w:r>
              <w:rPr>
                <w:rFonts w:eastAsia="仿宋_GB2312"/>
                <w:bCs/>
                <w:color w:val="auto"/>
                <w:sz w:val="28"/>
                <w:szCs w:val="28"/>
              </w:rPr>
              <w:t>赔偿</w:t>
            </w:r>
            <w:r>
              <w:rPr>
                <w:rFonts w:hint="eastAsia" w:eastAsia="仿宋_GB2312"/>
                <w:bCs/>
                <w:color w:val="auto"/>
                <w:sz w:val="28"/>
                <w:szCs w:val="28"/>
              </w:rPr>
              <w:t>。</w:t>
            </w:r>
          </w:p>
        </w:tc>
      </w:tr>
    </w:tbl>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（三）理赔情形</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1.登记行为已被人民法院生效法律文书或行政复议决定确认违法或者被撤销，登记机构及其工作人员没有主观故意，因该错误登记造成了实际经济损失，受损人提出赔偿请求的，保险公司启动理赔。</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2.未经诉讼或复议，受损人确有证据证明登记错误造成损失并提出赔偿请求，经登记机构确认登记错误，登记机构及其工作人员没有主观故意，保险公司启动理赔。</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3.经赔偿诉讼判决，该登记错误登记机构及其工作人员没有主观故意，保险公司按照赔偿判决的数额在保险限额内启动理赔。</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4.前述第1、2种情形，赔偿数额由受损人、登记机构、保险公司协商达成一致，保险公司在保险限额内启动理赔；若无法就赔偿数额达成一致的，由保险公司聘请市场评估机构评估，经评估后再行协商确定；仍无法达成一致的，由受损人提起行政赔偿诉讼，保险公司按照赔偿判决的数额在保险限额内理赔。第3</w:t>
      </w:r>
      <w:r>
        <w:rPr>
          <w:rFonts w:hint="eastAsia" w:eastAsia="仿宋_GB2312"/>
          <w:bCs/>
          <w:color w:val="auto"/>
          <w:sz w:val="32"/>
          <w:szCs w:val="32"/>
        </w:rPr>
        <w:t>种</w:t>
      </w:r>
      <w:r>
        <w:rPr>
          <w:rFonts w:eastAsia="仿宋_GB2312"/>
          <w:bCs/>
          <w:color w:val="auto"/>
          <w:sz w:val="32"/>
          <w:szCs w:val="32"/>
        </w:rPr>
        <w:t>情形，保险公司按照赔偿判决的数额在保险限额内理赔。</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（四）保险理赔程序</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1.出险通知</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登记机构在获悉发生损失后，及时拨打保险公司提供的报案电话或保险公司指定的项目服务小组日常联系人的电话进行出险通知。</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2.接报案</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保险公司应严格执行365天、24小时的全天候接报案制度，各项目小组成员均应保持24小时手机畅通。</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关于接报案事项约定：1）保险公司仅在登记机构或其他被保险人故意或者因重大过失未及时通知的情况下有权免责，而且免责的范围限于因未及时通知导致保险事故的性质、原因、损失程度等难以确定的部分；2）对于保险公司可以通过其他途径（如新闻媒体报道等）已经及时知道或者应当及时知道保险事故发生的，不得以登记机构或其他被保险人未及时通知为由拒绝承担赔偿责任。</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3.索赔单证审核</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保险公司应在接到报案后2个工作日内，以书面方式通知登记机构索赔所需的材料。</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关于提交材料，经双方协商可提供：1）办理该笔登记业务时，申请人提交的全套申请资料复印件（电子档案打印件）；2）受损人提供的其合法权益受损的证明材料；3）办理该登记业务相关的法律法规规范及政策依据；4）其他经协商确认应提交的相关材料。</w:t>
      </w:r>
    </w:p>
    <w:p>
      <w:pPr>
        <w:pStyle w:val="6"/>
        <w:keepNext w:val="0"/>
        <w:keepLines w:val="0"/>
        <w:spacing w:line="510" w:lineRule="exact"/>
        <w:ind w:firstLine="640"/>
        <w:jc w:val="left"/>
        <w:rPr>
          <w:rFonts w:eastAsia="仿宋_GB2312"/>
          <w:b/>
          <w:color w:val="auto"/>
          <w:sz w:val="32"/>
          <w:szCs w:val="32"/>
        </w:rPr>
      </w:pPr>
      <w:r>
        <w:rPr>
          <w:rFonts w:eastAsia="仿宋_GB2312"/>
          <w:bCs/>
          <w:color w:val="auto"/>
          <w:sz w:val="32"/>
          <w:szCs w:val="32"/>
        </w:rPr>
        <w:t>登记机构以当场、EMS、邮寄或其他方式向保险公司提供有关索赔单证和资料。保险公司在收到上述材料后应立即进行审查核实，若认为有关证明和材料不完整，应于3个工作日内以书面方式一次性通知补充提供有关证明或资料；若保险公司在接到索赔资料后3</w:t>
      </w:r>
      <w:r>
        <w:rPr>
          <w:rFonts w:hint="eastAsia" w:eastAsia="仿宋_GB2312"/>
          <w:bCs/>
          <w:color w:val="auto"/>
          <w:sz w:val="32"/>
          <w:szCs w:val="32"/>
        </w:rPr>
        <w:t>0</w:t>
      </w:r>
      <w:r>
        <w:rPr>
          <w:rFonts w:eastAsia="仿宋_GB2312"/>
          <w:bCs/>
          <w:color w:val="auto"/>
          <w:sz w:val="32"/>
          <w:szCs w:val="32"/>
        </w:rPr>
        <w:t>个工作日内未提出有关审核意见，则视为认可索赔资料完整。</w:t>
      </w:r>
      <w:r>
        <w:rPr>
          <w:rFonts w:hint="eastAsia" w:eastAsia="仿宋_GB2312"/>
          <w:b/>
          <w:color w:val="auto"/>
          <w:sz w:val="32"/>
          <w:szCs w:val="32"/>
        </w:rPr>
        <w:t>保险人应当将核定结果通知被保险人，保险人依照前款的规定作出核定后，对不属于保险责任的，应当自作出核定之日起3个工作日内向被保险人发出拒绝赔偿保险金通知书，并说明理由。</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4.赔付</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除保险公司有证据证明属于登记机构工作人员主观故意造成登记错误产生赔偿外，保险公司应按照理赔情形完成理赔。</w:t>
      </w:r>
    </w:p>
    <w:p>
      <w:pPr>
        <w:pStyle w:val="6"/>
        <w:keepNext w:val="0"/>
        <w:keepLines w:val="0"/>
        <w:spacing w:line="510" w:lineRule="exact"/>
        <w:ind w:firstLine="640"/>
        <w:rPr>
          <w:rFonts w:eastAsia="仿宋_GB2312"/>
          <w:bCs/>
          <w:color w:val="auto"/>
          <w:sz w:val="32"/>
          <w:szCs w:val="32"/>
        </w:rPr>
      </w:pPr>
      <w:r>
        <w:rPr>
          <w:rFonts w:eastAsia="仿宋_GB2312"/>
          <w:bCs/>
          <w:color w:val="auto"/>
          <w:sz w:val="32"/>
          <w:szCs w:val="32"/>
        </w:rPr>
        <w:t>（五）支付方式</w:t>
      </w:r>
    </w:p>
    <w:p>
      <w:pPr>
        <w:pStyle w:val="6"/>
        <w:keepNext w:val="0"/>
        <w:keepLines w:val="0"/>
        <w:spacing w:line="510" w:lineRule="exact"/>
        <w:ind w:firstLine="640"/>
        <w:jc w:val="left"/>
        <w:rPr>
          <w:rFonts w:eastAsia="仿宋_GB2312"/>
          <w:color w:val="auto"/>
          <w:sz w:val="32"/>
          <w:szCs w:val="32"/>
        </w:rPr>
      </w:pPr>
      <w:r>
        <w:rPr>
          <w:rFonts w:hint="eastAsia" w:eastAsia="仿宋_GB2312"/>
          <w:b/>
          <w:color w:val="auto"/>
          <w:sz w:val="32"/>
          <w:szCs w:val="32"/>
        </w:rPr>
        <w:t>对于属于保险责任的，</w:t>
      </w:r>
      <w:r>
        <w:rPr>
          <w:rFonts w:eastAsia="仿宋_GB2312"/>
          <w:bCs/>
          <w:color w:val="auto"/>
          <w:sz w:val="32"/>
          <w:szCs w:val="32"/>
        </w:rPr>
        <w:t>由保险公司直接向提出赔偿请求的受损人支付保险赔偿金</w:t>
      </w:r>
      <w:bookmarkEnd w:id="1"/>
      <w:bookmarkEnd w:id="2"/>
      <w:bookmarkEnd w:id="3"/>
      <w:bookmarkEnd w:id="4"/>
      <w:bookmarkEnd w:id="5"/>
      <w:bookmarkEnd w:id="6"/>
      <w:bookmarkEnd w:id="7"/>
      <w:bookmarkEnd w:id="8"/>
      <w:bookmarkEnd w:id="9"/>
      <w:bookmarkEnd w:id="10"/>
      <w:bookmarkEnd w:id="11"/>
      <w:bookmarkEnd w:id="12"/>
      <w:r>
        <w:rPr>
          <w:rFonts w:hint="eastAsia" w:eastAsia="仿宋_GB2312"/>
          <w:bCs/>
          <w:color w:val="auto"/>
          <w:sz w:val="32"/>
          <w:szCs w:val="32"/>
        </w:rPr>
        <w:t>，</w:t>
      </w:r>
      <w:r>
        <w:rPr>
          <w:rFonts w:hint="eastAsia" w:eastAsia="仿宋_GB2312"/>
          <w:b/>
          <w:color w:val="auto"/>
          <w:sz w:val="32"/>
          <w:szCs w:val="32"/>
        </w:rPr>
        <w:t>并在</w:t>
      </w:r>
      <w:r>
        <w:rPr>
          <w:rFonts w:eastAsia="仿宋_GB2312"/>
          <w:b/>
          <w:color w:val="auto"/>
          <w:sz w:val="32"/>
          <w:szCs w:val="32"/>
        </w:rPr>
        <w:t>保险赔偿金</w:t>
      </w:r>
      <w:r>
        <w:rPr>
          <w:rFonts w:hint="eastAsia" w:eastAsia="仿宋_GB2312"/>
          <w:b/>
          <w:color w:val="auto"/>
          <w:sz w:val="32"/>
          <w:szCs w:val="32"/>
        </w:rPr>
        <w:t>确定后的5个工作日内支付完毕。</w:t>
      </w:r>
      <w:r>
        <w:rPr>
          <w:rFonts w:eastAsia="仿宋_GB2312"/>
          <w:color w:val="auto"/>
          <w:sz w:val="32"/>
          <w:szCs w:val="32"/>
        </w:rPr>
        <w:br w:type="page"/>
      </w:r>
    </w:p>
    <w:p>
      <w:pPr>
        <w:pStyle w:val="6"/>
        <w:keepNext w:val="0"/>
        <w:keepLines w:val="0"/>
        <w:spacing w:line="510" w:lineRule="exact"/>
        <w:ind w:firstLine="640"/>
        <w:jc w:val="center"/>
        <w:rPr>
          <w:rFonts w:eastAsia="仿宋_GB2312"/>
          <w:color w:val="auto"/>
          <w:sz w:val="32"/>
          <w:szCs w:val="32"/>
        </w:rPr>
      </w:pPr>
    </w:p>
    <w:p>
      <w:pPr>
        <w:pStyle w:val="6"/>
        <w:keepNext w:val="0"/>
        <w:keepLines w:val="0"/>
        <w:spacing w:line="510" w:lineRule="exact"/>
        <w:ind w:firstLine="640"/>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承诺函</w:t>
      </w:r>
    </w:p>
    <w:p>
      <w:pPr>
        <w:pStyle w:val="2"/>
        <w:keepNext w:val="0"/>
        <w:keepLines w:val="0"/>
        <w:rPr>
          <w:color w:val="auto"/>
        </w:rPr>
      </w:pPr>
    </w:p>
    <w:p>
      <w:pPr>
        <w:keepNext w:val="0"/>
        <w:keepLines w:val="0"/>
        <w:spacing w:line="570" w:lineRule="exact"/>
        <w:ind w:left="640" w:right="-99" w:rightChars="-47" w:hanging="640" w:hangingChars="200"/>
        <w:rPr>
          <w:rFonts w:eastAsia="仿宋_GB2312"/>
          <w:caps/>
          <w:color w:val="auto"/>
          <w:sz w:val="32"/>
          <w:szCs w:val="32"/>
        </w:rPr>
      </w:pPr>
      <w:r>
        <w:rPr>
          <w:rFonts w:eastAsia="仿宋_GB2312"/>
          <w:caps/>
          <w:color w:val="auto"/>
          <w:sz w:val="32"/>
          <w:szCs w:val="32"/>
        </w:rPr>
        <w:t>广安市不动产登记中心：</w:t>
      </w:r>
    </w:p>
    <w:p>
      <w:pPr>
        <w:keepNext w:val="0"/>
        <w:keepLines w:val="0"/>
        <w:spacing w:line="570" w:lineRule="exact"/>
        <w:ind w:right="-99" w:rightChars="-47" w:firstLine="640" w:firstLineChars="200"/>
        <w:jc w:val="left"/>
        <w:outlineLvl w:val="1"/>
        <w:rPr>
          <w:rFonts w:eastAsia="仿宋_GB2312"/>
          <w:caps/>
          <w:color w:val="auto"/>
          <w:sz w:val="32"/>
          <w:szCs w:val="32"/>
        </w:rPr>
      </w:pPr>
      <w:bookmarkStart w:id="13" w:name="_Toc504050606"/>
      <w:bookmarkStart w:id="14" w:name="_Toc504551672"/>
      <w:r>
        <w:rPr>
          <w:rFonts w:eastAsia="仿宋_GB2312"/>
          <w:caps/>
          <w:color w:val="auto"/>
          <w:sz w:val="32"/>
          <w:szCs w:val="32"/>
        </w:rPr>
        <w:t>我公司作为本次采购项目的响应人，根据采购公告文件要求，现郑重承诺如下：</w:t>
      </w:r>
      <w:bookmarkEnd w:id="13"/>
      <w:bookmarkEnd w:id="14"/>
    </w:p>
    <w:p>
      <w:pPr>
        <w:keepNext w:val="0"/>
        <w:keepLines w:val="0"/>
        <w:spacing w:line="570" w:lineRule="exact"/>
        <w:ind w:right="-99" w:rightChars="-47" w:firstLine="640" w:firstLineChars="200"/>
        <w:jc w:val="left"/>
        <w:outlineLvl w:val="1"/>
        <w:rPr>
          <w:rFonts w:eastAsia="仿宋_GB2312"/>
          <w:caps/>
          <w:color w:val="auto"/>
          <w:sz w:val="32"/>
          <w:szCs w:val="32"/>
        </w:rPr>
      </w:pPr>
      <w:bookmarkStart w:id="15" w:name="_Toc504551673"/>
      <w:bookmarkStart w:id="16" w:name="_Toc504050607"/>
      <w:r>
        <w:rPr>
          <w:rFonts w:eastAsia="仿宋_GB2312"/>
          <w:caps/>
          <w:color w:val="auto"/>
          <w:sz w:val="32"/>
          <w:szCs w:val="32"/>
        </w:rPr>
        <w:t>一、具备《中华人民共和国政府采购法》第二十二条第一款和本项目规定的条件：</w:t>
      </w:r>
      <w:bookmarkEnd w:id="15"/>
      <w:bookmarkEnd w:id="16"/>
    </w:p>
    <w:p>
      <w:pPr>
        <w:keepNext w:val="0"/>
        <w:keepLines w:val="0"/>
        <w:spacing w:line="570" w:lineRule="exact"/>
        <w:ind w:right="-99" w:rightChars="-47" w:firstLine="640" w:firstLineChars="200"/>
        <w:jc w:val="left"/>
        <w:outlineLvl w:val="1"/>
        <w:rPr>
          <w:rFonts w:eastAsia="仿宋_GB2312"/>
          <w:caps/>
          <w:color w:val="auto"/>
          <w:sz w:val="32"/>
          <w:szCs w:val="32"/>
        </w:rPr>
      </w:pPr>
      <w:bookmarkStart w:id="17" w:name="_Toc504050608"/>
      <w:bookmarkStart w:id="18" w:name="_Toc504551674"/>
      <w:r>
        <w:rPr>
          <w:rFonts w:eastAsia="仿宋_GB2312"/>
          <w:caps/>
          <w:color w:val="auto"/>
          <w:sz w:val="32"/>
          <w:szCs w:val="32"/>
        </w:rPr>
        <w:t xml:space="preserve">（一）具有独立承担民事责任的能力。 </w:t>
      </w:r>
      <w:r>
        <w:rPr>
          <w:rFonts w:eastAsia="仿宋_GB2312"/>
          <w:caps/>
          <w:color w:val="auto"/>
          <w:sz w:val="32"/>
          <w:szCs w:val="32"/>
        </w:rPr>
        <w:br w:type="textWrapping"/>
      </w:r>
      <w:r>
        <w:rPr>
          <w:rFonts w:eastAsia="仿宋_GB2312"/>
          <w:caps/>
          <w:color w:val="auto"/>
          <w:sz w:val="32"/>
          <w:szCs w:val="32"/>
        </w:rPr>
        <w:t xml:space="preserve">　　（二）具有良好的商业信誉和健全的财务会计制度。 </w:t>
      </w:r>
      <w:r>
        <w:rPr>
          <w:rFonts w:eastAsia="仿宋_GB2312"/>
          <w:caps/>
          <w:color w:val="auto"/>
          <w:sz w:val="32"/>
          <w:szCs w:val="32"/>
        </w:rPr>
        <w:br w:type="textWrapping"/>
      </w:r>
      <w:r>
        <w:rPr>
          <w:rFonts w:eastAsia="仿宋_GB2312"/>
          <w:caps/>
          <w:color w:val="auto"/>
          <w:sz w:val="32"/>
          <w:szCs w:val="32"/>
        </w:rPr>
        <w:t xml:space="preserve">　　（三）具有履行合同所必需的设备和专业技术能力。 </w:t>
      </w:r>
      <w:r>
        <w:rPr>
          <w:rFonts w:eastAsia="仿宋_GB2312"/>
          <w:caps/>
          <w:color w:val="auto"/>
          <w:sz w:val="32"/>
          <w:szCs w:val="32"/>
        </w:rPr>
        <w:br w:type="textWrapping"/>
      </w:r>
      <w:r>
        <w:rPr>
          <w:rFonts w:eastAsia="仿宋_GB2312"/>
          <w:caps/>
          <w:color w:val="auto"/>
          <w:sz w:val="32"/>
          <w:szCs w:val="32"/>
        </w:rPr>
        <w:t xml:space="preserve">　　（四）有依法缴纳税收和社会保障资金的良好记录。 </w:t>
      </w:r>
      <w:r>
        <w:rPr>
          <w:rFonts w:eastAsia="仿宋_GB2312"/>
          <w:caps/>
          <w:color w:val="auto"/>
          <w:sz w:val="32"/>
          <w:szCs w:val="32"/>
        </w:rPr>
        <w:br w:type="textWrapping"/>
      </w:r>
      <w:r>
        <w:rPr>
          <w:rFonts w:eastAsia="仿宋_GB2312"/>
          <w:caps/>
          <w:color w:val="auto"/>
          <w:sz w:val="32"/>
          <w:szCs w:val="32"/>
        </w:rPr>
        <w:t>　　（五）参加政府采购活动前三年内，在经营活动中没有重大违法记录。</w:t>
      </w:r>
      <w:bookmarkEnd w:id="17"/>
      <w:bookmarkEnd w:id="18"/>
    </w:p>
    <w:p>
      <w:pPr>
        <w:keepNext w:val="0"/>
        <w:keepLines w:val="0"/>
        <w:spacing w:line="570" w:lineRule="exact"/>
        <w:ind w:right="-99" w:rightChars="-47" w:firstLine="640" w:firstLineChars="200"/>
        <w:jc w:val="left"/>
        <w:outlineLvl w:val="1"/>
        <w:rPr>
          <w:rFonts w:eastAsia="仿宋_GB2312"/>
          <w:caps/>
          <w:color w:val="auto"/>
          <w:sz w:val="32"/>
          <w:szCs w:val="32"/>
        </w:rPr>
      </w:pPr>
      <w:bookmarkStart w:id="19" w:name="_Toc504551675"/>
      <w:bookmarkStart w:id="20" w:name="_Toc504050609"/>
      <w:r>
        <w:rPr>
          <w:rFonts w:eastAsia="仿宋_GB2312"/>
          <w:caps/>
          <w:color w:val="auto"/>
          <w:sz w:val="32"/>
          <w:szCs w:val="32"/>
        </w:rPr>
        <w:t>（六）法律、行政法规规定的其他条件。</w:t>
      </w:r>
      <w:bookmarkEnd w:id="19"/>
      <w:bookmarkEnd w:id="20"/>
    </w:p>
    <w:p>
      <w:pPr>
        <w:keepNext w:val="0"/>
        <w:keepLines w:val="0"/>
        <w:spacing w:line="570" w:lineRule="exact"/>
        <w:ind w:right="-99" w:rightChars="-47" w:firstLine="640" w:firstLineChars="200"/>
        <w:jc w:val="left"/>
        <w:outlineLvl w:val="1"/>
        <w:rPr>
          <w:rFonts w:eastAsia="仿宋_GB2312"/>
          <w:caps/>
          <w:color w:val="auto"/>
          <w:sz w:val="32"/>
          <w:szCs w:val="32"/>
        </w:rPr>
      </w:pPr>
      <w:bookmarkStart w:id="21" w:name="_Toc504551676"/>
      <w:bookmarkStart w:id="22" w:name="_Toc504050610"/>
      <w:r>
        <w:rPr>
          <w:rFonts w:eastAsia="仿宋_GB2312"/>
          <w:caps/>
          <w:color w:val="auto"/>
          <w:sz w:val="32"/>
          <w:szCs w:val="32"/>
        </w:rPr>
        <w:t>（七）根据本采购项目提出的特殊条件。</w:t>
      </w:r>
      <w:bookmarkEnd w:id="21"/>
      <w:bookmarkEnd w:id="22"/>
    </w:p>
    <w:p>
      <w:pPr>
        <w:keepNext w:val="0"/>
        <w:keepLines w:val="0"/>
        <w:spacing w:line="570" w:lineRule="exact"/>
        <w:ind w:right="-99" w:rightChars="-47" w:firstLine="640" w:firstLineChars="200"/>
        <w:jc w:val="left"/>
        <w:outlineLvl w:val="1"/>
        <w:rPr>
          <w:rFonts w:eastAsia="仿宋_GB2312"/>
          <w:caps/>
          <w:color w:val="auto"/>
          <w:sz w:val="32"/>
          <w:szCs w:val="32"/>
        </w:rPr>
      </w:pPr>
      <w:bookmarkStart w:id="23" w:name="_Toc504551677"/>
      <w:bookmarkStart w:id="24" w:name="_Toc504050611"/>
      <w:r>
        <w:rPr>
          <w:rFonts w:eastAsia="仿宋_GB2312"/>
          <w:caps/>
          <w:color w:val="auto"/>
          <w:sz w:val="32"/>
          <w:szCs w:val="32"/>
        </w:rPr>
        <w:t>二、完全接受和满足本项目公告文件中规定的实质性要求，如对公告文件有异议，已经在递交响应文件截止时间届满前依法进行维权救济，不存在对公告文件有异议的同时又参加响应以求侥幸成交或者为实现其他非法目的的行为。</w:t>
      </w:r>
      <w:bookmarkEnd w:id="23"/>
      <w:bookmarkEnd w:id="24"/>
    </w:p>
    <w:p>
      <w:pPr>
        <w:keepNext w:val="0"/>
        <w:keepLines w:val="0"/>
        <w:spacing w:line="570" w:lineRule="exact"/>
        <w:ind w:right="-99" w:rightChars="-47" w:firstLine="640" w:firstLineChars="200"/>
        <w:jc w:val="left"/>
        <w:outlineLvl w:val="1"/>
        <w:rPr>
          <w:rFonts w:eastAsia="仿宋_GB2312"/>
          <w:caps/>
          <w:color w:val="auto"/>
          <w:sz w:val="32"/>
          <w:szCs w:val="32"/>
        </w:rPr>
      </w:pPr>
      <w:bookmarkStart w:id="25" w:name="_Toc504551678"/>
      <w:bookmarkStart w:id="26" w:name="_Toc504050612"/>
      <w:r>
        <w:rPr>
          <w:rFonts w:eastAsia="仿宋_GB2312"/>
          <w:caps/>
          <w:color w:val="auto"/>
          <w:sz w:val="32"/>
          <w:szCs w:val="32"/>
        </w:rPr>
        <w:t>三、参加本次采购活动，不存在与单位负责人为同一人或者存在直接控股、管理关系的其他供应商参与同一合同项下的政府采购活动的行为。</w:t>
      </w:r>
      <w:bookmarkEnd w:id="25"/>
      <w:bookmarkEnd w:id="26"/>
    </w:p>
    <w:p>
      <w:pPr>
        <w:keepNext w:val="0"/>
        <w:keepLines w:val="0"/>
        <w:spacing w:line="570" w:lineRule="exact"/>
        <w:ind w:right="-99" w:rightChars="-47" w:firstLine="640" w:firstLineChars="200"/>
        <w:jc w:val="left"/>
        <w:outlineLvl w:val="1"/>
        <w:rPr>
          <w:rFonts w:eastAsia="仿宋_GB2312"/>
          <w:caps/>
          <w:color w:val="auto"/>
          <w:sz w:val="32"/>
          <w:szCs w:val="32"/>
        </w:rPr>
      </w:pPr>
      <w:bookmarkStart w:id="27" w:name="_Toc504050613"/>
      <w:bookmarkStart w:id="28" w:name="_Toc504551679"/>
      <w:r>
        <w:rPr>
          <w:rFonts w:eastAsia="仿宋_GB2312"/>
          <w:caps/>
          <w:color w:val="auto"/>
          <w:sz w:val="32"/>
          <w:szCs w:val="32"/>
        </w:rPr>
        <w:t>四、参加本次采购活动，不存在和其他供应商在同一合同项下的采购项目中，同时委托同一个自然人、同一家庭的人员、同一单位的人员作为代理人的行为。</w:t>
      </w:r>
      <w:bookmarkEnd w:id="27"/>
      <w:bookmarkEnd w:id="28"/>
    </w:p>
    <w:p>
      <w:pPr>
        <w:keepNext w:val="0"/>
        <w:keepLines w:val="0"/>
        <w:spacing w:line="570" w:lineRule="exact"/>
        <w:ind w:right="-99" w:rightChars="-47" w:firstLine="640" w:firstLineChars="200"/>
        <w:jc w:val="left"/>
        <w:outlineLvl w:val="1"/>
        <w:rPr>
          <w:rFonts w:eastAsia="仿宋_GB2312"/>
          <w:caps/>
          <w:color w:val="auto"/>
          <w:sz w:val="32"/>
          <w:szCs w:val="32"/>
        </w:rPr>
      </w:pPr>
      <w:bookmarkStart w:id="29" w:name="_Toc504551680"/>
      <w:bookmarkStart w:id="30" w:name="_Toc504050614"/>
      <w:r>
        <w:rPr>
          <w:rFonts w:eastAsia="仿宋_GB2312"/>
          <w:caps/>
          <w:color w:val="auto"/>
          <w:sz w:val="32"/>
          <w:szCs w:val="32"/>
        </w:rPr>
        <w:t>五、我单位有（ ）没有（ ）《四川省政府采购当事人诚信管理办法》（川财采【2015】33号文件）和本采购文件规定的失信行为。</w:t>
      </w:r>
      <w:bookmarkEnd w:id="29"/>
      <w:bookmarkEnd w:id="30"/>
    </w:p>
    <w:p>
      <w:pPr>
        <w:keepNext w:val="0"/>
        <w:keepLines w:val="0"/>
        <w:spacing w:line="570" w:lineRule="exact"/>
        <w:ind w:right="-99" w:rightChars="-47" w:firstLine="640" w:firstLineChars="200"/>
        <w:jc w:val="left"/>
        <w:outlineLvl w:val="1"/>
        <w:rPr>
          <w:rFonts w:eastAsia="仿宋_GB2312"/>
          <w:caps/>
          <w:color w:val="auto"/>
          <w:sz w:val="32"/>
          <w:szCs w:val="32"/>
        </w:rPr>
      </w:pPr>
      <w:bookmarkStart w:id="31" w:name="_Toc504551681"/>
      <w:r>
        <w:rPr>
          <w:rFonts w:eastAsia="仿宋_GB2312"/>
          <w:caps/>
          <w:color w:val="auto"/>
          <w:sz w:val="32"/>
          <w:szCs w:val="32"/>
        </w:rPr>
        <w:t>六、我单位不是禁止参加本次采购活动的供应商。</w:t>
      </w:r>
      <w:bookmarkEnd w:id="31"/>
    </w:p>
    <w:p>
      <w:pPr>
        <w:keepNext w:val="0"/>
        <w:keepLines w:val="0"/>
        <w:spacing w:line="570" w:lineRule="exact"/>
        <w:ind w:right="-99" w:rightChars="-47" w:firstLine="640" w:firstLineChars="200"/>
        <w:jc w:val="left"/>
        <w:outlineLvl w:val="1"/>
        <w:rPr>
          <w:rFonts w:eastAsia="仿宋_GB2312"/>
          <w:color w:val="auto"/>
          <w:sz w:val="32"/>
          <w:szCs w:val="32"/>
        </w:rPr>
      </w:pPr>
      <w:bookmarkStart w:id="32" w:name="_Toc504050615"/>
      <w:bookmarkStart w:id="33" w:name="_Toc504551682"/>
      <w:r>
        <w:rPr>
          <w:rFonts w:eastAsia="仿宋_GB2312"/>
          <w:caps/>
          <w:color w:val="auto"/>
          <w:sz w:val="32"/>
          <w:szCs w:val="32"/>
        </w:rPr>
        <w:t>七、我单位及其现任法定代表人、主要负责人有（ ）没有（ ）行贿犯罪记录。</w:t>
      </w:r>
      <w:bookmarkEnd w:id="32"/>
      <w:bookmarkEnd w:id="33"/>
    </w:p>
    <w:p>
      <w:pPr>
        <w:keepNext w:val="0"/>
        <w:keepLines w:val="0"/>
        <w:spacing w:line="570" w:lineRule="exact"/>
        <w:ind w:right="-99" w:rightChars="-47" w:firstLine="640" w:firstLineChars="200"/>
        <w:jc w:val="left"/>
        <w:outlineLvl w:val="1"/>
        <w:rPr>
          <w:rFonts w:eastAsia="仿宋_GB2312"/>
          <w:caps/>
          <w:color w:val="auto"/>
          <w:sz w:val="32"/>
          <w:szCs w:val="32"/>
        </w:rPr>
      </w:pPr>
      <w:bookmarkStart w:id="34" w:name="_Toc504050616"/>
      <w:bookmarkStart w:id="35" w:name="_Toc504551683"/>
      <w:r>
        <w:rPr>
          <w:rFonts w:eastAsia="仿宋_GB2312"/>
          <w:caps/>
          <w:color w:val="auto"/>
          <w:sz w:val="32"/>
          <w:szCs w:val="32"/>
        </w:rPr>
        <w:t>八、响应文件中提供的能够给予我公司带来优惠、好处的任何材料资料和技术、服务、商务等响应承诺情况都是真实的、有效的、合法的。</w:t>
      </w:r>
      <w:bookmarkEnd w:id="34"/>
      <w:bookmarkEnd w:id="35"/>
    </w:p>
    <w:p>
      <w:pPr>
        <w:keepNext w:val="0"/>
        <w:keepLines w:val="0"/>
        <w:spacing w:line="570" w:lineRule="exact"/>
        <w:ind w:right="-99" w:rightChars="-47" w:firstLine="640" w:firstLineChars="200"/>
        <w:jc w:val="left"/>
        <w:outlineLvl w:val="1"/>
        <w:rPr>
          <w:rFonts w:eastAsia="仿宋_GB2312"/>
          <w:caps/>
          <w:color w:val="auto"/>
          <w:sz w:val="32"/>
          <w:szCs w:val="32"/>
        </w:rPr>
      </w:pPr>
      <w:bookmarkStart w:id="36" w:name="_Toc504050618"/>
      <w:bookmarkStart w:id="37" w:name="_Toc504551685"/>
      <w:r>
        <w:rPr>
          <w:rFonts w:eastAsia="仿宋_GB2312"/>
          <w:caps/>
          <w:color w:val="auto"/>
          <w:sz w:val="32"/>
          <w:szCs w:val="32"/>
        </w:rPr>
        <w:t>九、本公司对上述承诺的内容事项真实性负责。如经查实上述承诺的内容事项存在虚假，我公司愿意接受以提供虚假材料谋取中标追究法律责任。</w:t>
      </w:r>
      <w:bookmarkEnd w:id="36"/>
      <w:bookmarkEnd w:id="37"/>
    </w:p>
    <w:p>
      <w:pPr>
        <w:keepNext w:val="0"/>
        <w:keepLines w:val="0"/>
        <w:adjustRightInd w:val="0"/>
        <w:spacing w:line="570" w:lineRule="exact"/>
        <w:ind w:right="-99" w:rightChars="-47" w:firstLine="640" w:firstLineChars="200"/>
        <w:jc w:val="left"/>
        <w:rPr>
          <w:rFonts w:eastAsia="仿宋_GB2312"/>
          <w:caps/>
          <w:color w:val="auto"/>
          <w:sz w:val="32"/>
          <w:szCs w:val="32"/>
        </w:rPr>
      </w:pPr>
      <w:r>
        <w:rPr>
          <w:rFonts w:eastAsia="仿宋_GB2312"/>
          <w:caps/>
          <w:color w:val="auto"/>
          <w:sz w:val="32"/>
          <w:szCs w:val="32"/>
        </w:rPr>
        <w:t>响应人名称（盖章）：</w:t>
      </w:r>
      <w:r>
        <w:rPr>
          <w:rFonts w:eastAsia="仿宋_GB2312"/>
          <w:caps/>
          <w:color w:val="auto"/>
          <w:sz w:val="32"/>
          <w:szCs w:val="32"/>
          <w:u w:val="single"/>
        </w:rPr>
        <w:t>　　　　　　　　　　　　　　</w:t>
      </w:r>
    </w:p>
    <w:p>
      <w:pPr>
        <w:keepNext w:val="0"/>
        <w:keepLines w:val="0"/>
        <w:adjustRightInd w:val="0"/>
        <w:spacing w:line="570" w:lineRule="exact"/>
        <w:ind w:right="-99" w:rightChars="-47" w:firstLine="640" w:firstLineChars="200"/>
        <w:jc w:val="left"/>
        <w:rPr>
          <w:rFonts w:eastAsia="仿宋_GB2312"/>
          <w:caps/>
          <w:color w:val="auto"/>
          <w:sz w:val="32"/>
          <w:szCs w:val="32"/>
          <w:u w:val="single"/>
        </w:rPr>
      </w:pPr>
      <w:r>
        <w:rPr>
          <w:rFonts w:eastAsia="仿宋_GB2312"/>
          <w:caps/>
          <w:color w:val="auto"/>
          <w:sz w:val="32"/>
          <w:szCs w:val="32"/>
        </w:rPr>
        <w:t>法定代表人或授权代表：</w:t>
      </w:r>
      <w:r>
        <w:rPr>
          <w:rFonts w:eastAsia="仿宋_GB2312"/>
          <w:caps/>
          <w:color w:val="auto"/>
          <w:sz w:val="32"/>
          <w:szCs w:val="32"/>
          <w:u w:val="single"/>
        </w:rPr>
        <w:t>　　　　　　　　　　　　　</w:t>
      </w:r>
    </w:p>
    <w:p>
      <w:pPr>
        <w:keepNext w:val="0"/>
        <w:keepLines w:val="0"/>
        <w:adjustRightInd w:val="0"/>
        <w:spacing w:line="570" w:lineRule="exact"/>
        <w:ind w:right="-99" w:rightChars="-47" w:firstLine="640" w:firstLineChars="200"/>
        <w:jc w:val="left"/>
        <w:rPr>
          <w:rFonts w:eastAsia="仿宋_GB2312"/>
          <w:caps/>
          <w:color w:val="auto"/>
          <w:sz w:val="32"/>
          <w:szCs w:val="32"/>
          <w:u w:val="single"/>
        </w:rPr>
      </w:pPr>
      <w:r>
        <w:rPr>
          <w:rFonts w:eastAsia="仿宋_GB2312"/>
          <w:caps/>
          <w:color w:val="auto"/>
          <w:sz w:val="32"/>
          <w:szCs w:val="32"/>
        </w:rPr>
        <w:t>日期：</w:t>
      </w:r>
      <w:r>
        <w:rPr>
          <w:rFonts w:eastAsia="仿宋_GB2312"/>
          <w:caps/>
          <w:color w:val="auto"/>
          <w:sz w:val="32"/>
          <w:szCs w:val="32"/>
          <w:u w:val="single"/>
        </w:rPr>
        <w:t>　　　　　　　　　　　　　　　　　　　　　</w:t>
      </w:r>
    </w:p>
    <w:p>
      <w:pPr>
        <w:pStyle w:val="2"/>
        <w:keepNext w:val="0"/>
        <w:keepLines w:val="0"/>
        <w:spacing w:line="570" w:lineRule="exact"/>
        <w:rPr>
          <w:rFonts w:eastAsia="仿宋_GB2312"/>
          <w:caps/>
          <w:color w:val="auto"/>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黑体" w:hAnsi="黑体" w:eastAsia="黑体" w:cs="黑体"/>
          <w:sz w:val="32"/>
          <w:szCs w:val="32"/>
          <w:lang w:val="en-US" w:eastAsia="zh-CN"/>
        </w:rPr>
      </w:pPr>
      <w:r>
        <w:rPr>
          <w:rFonts w:eastAsia="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XXX 单位(公司)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广安市不动产登记责任保险项目的</w:t>
      </w:r>
      <w:r>
        <w:rPr>
          <w:rFonts w:hint="eastAsia" w:ascii="方正小标宋_GBK" w:hAnsi="方正小标宋_GBK" w:eastAsia="方正小标宋_GBK" w:cs="方正小标宋_GBK"/>
          <w:sz w:val="44"/>
          <w:szCs w:val="44"/>
        </w:rPr>
        <w:t>报价函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广安市</w:t>
      </w:r>
      <w:r>
        <w:rPr>
          <w:rFonts w:hint="eastAsia" w:ascii="仿宋_GB2312" w:hAnsi="仿宋_GB2312" w:eastAsia="仿宋_GB2312" w:cs="仿宋_GB2312"/>
          <w:sz w:val="32"/>
          <w:szCs w:val="32"/>
          <w:lang w:val="en-US" w:eastAsia="zh-CN"/>
        </w:rPr>
        <w:t>不动产登记中心：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贵单位关于</w:t>
      </w:r>
      <w:r>
        <w:rPr>
          <w:rFonts w:hint="eastAsia" w:ascii="Times New Roman" w:hAnsi="Times New Roman" w:eastAsia="仿宋_GB2312" w:cs="Times New Roman"/>
          <w:sz w:val="32"/>
          <w:szCs w:val="32"/>
          <w:lang w:val="en-US" w:eastAsia="zh-CN"/>
        </w:rPr>
        <w:t>不</w:t>
      </w:r>
      <w:r>
        <w:rPr>
          <w:rFonts w:hint="default" w:ascii="Times New Roman" w:hAnsi="Times New Roman" w:eastAsia="仿宋_GB2312" w:cs="Times New Roman"/>
          <w:sz w:val="32"/>
          <w:szCs w:val="32"/>
        </w:rPr>
        <w:t>动产登记责任保险项目</w:t>
      </w:r>
      <w:r>
        <w:rPr>
          <w:rFonts w:hint="eastAsia" w:ascii="仿宋_GB2312" w:hAnsi="仿宋_GB2312" w:eastAsia="仿宋_GB2312" w:cs="仿宋_GB2312"/>
          <w:sz w:val="32"/>
          <w:szCs w:val="32"/>
          <w:lang w:val="en-US" w:eastAsia="zh-CN"/>
        </w:rPr>
        <w:t>询价（第二次）的函件</w:t>
      </w:r>
      <w:r>
        <w:rPr>
          <w:rFonts w:hint="eastAsia" w:ascii="仿宋_GB2312" w:hAnsi="仿宋_GB2312" w:eastAsia="仿宋_GB2312" w:cs="仿宋_GB2312"/>
          <w:sz w:val="32"/>
          <w:szCs w:val="32"/>
        </w:rPr>
        <w:t>已收悉，经研究，我单位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愿以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大写：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参与询价，</w:t>
      </w:r>
      <w:r>
        <w:rPr>
          <w:rFonts w:hint="eastAsia" w:ascii="仿宋_GB2312" w:hAnsi="仿宋_GB2312" w:eastAsia="仿宋_GB2312" w:cs="仿宋_GB2312"/>
          <w:sz w:val="32"/>
          <w:szCs w:val="32"/>
          <w:lang w:val="en-US" w:eastAsia="zh-CN"/>
        </w:rPr>
        <w:t>响应文件、</w:t>
      </w:r>
      <w:r>
        <w:rPr>
          <w:rFonts w:hint="eastAsia" w:ascii="仿宋_GB2312" w:hAnsi="仿宋_GB2312" w:eastAsia="仿宋_GB2312" w:cs="仿宋_GB2312"/>
          <w:sz w:val="32"/>
          <w:szCs w:val="32"/>
        </w:rPr>
        <w:t>“营业执照”“税务登记证”“资质证书”复印件、承诺</w:t>
      </w:r>
      <w:r>
        <w:rPr>
          <w:rFonts w:hint="eastAsia" w:ascii="仿宋_GB2312" w:hAnsi="仿宋_GB2312" w:eastAsia="仿宋_GB2312" w:cs="仿宋_GB2312"/>
          <w:sz w:val="32"/>
          <w:szCs w:val="32"/>
          <w:lang w:val="en-US" w:eastAsia="zh-CN"/>
        </w:rPr>
        <w:t>函</w:t>
      </w:r>
      <w:r>
        <w:rPr>
          <w:rFonts w:hint="eastAsia" w:ascii="仿宋_GB2312" w:hAnsi="仿宋_GB2312" w:eastAsia="仿宋_GB2312" w:cs="仿宋_GB2312"/>
          <w:sz w:val="32"/>
          <w:szCs w:val="32"/>
        </w:rPr>
        <w:t>等相关资料详附件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XXX单位(公司)</w:t>
      </w:r>
    </w:p>
    <w:p>
      <w:pPr>
        <w:jc w:val="right"/>
        <w:rPr>
          <w:rFonts w:hint="default"/>
          <w:lang w:val="en-US" w:eastAsia="zh-CN"/>
        </w:rPr>
      </w:pPr>
      <w:r>
        <w:rPr>
          <w:rFonts w:hint="eastAsia" w:ascii="仿宋_GB2312" w:hAnsi="仿宋_GB2312" w:eastAsia="仿宋_GB2312" w:cs="仿宋_GB2312"/>
          <w:sz w:val="32"/>
          <w:szCs w:val="32"/>
        </w:rPr>
        <w:t>202X年X月X日</w:t>
      </w:r>
    </w:p>
    <w:p>
      <w:pPr>
        <w:keepNext w:val="0"/>
        <w:keepLines w:val="0"/>
        <w:adjustRightInd w:val="0"/>
        <w:snapToGrid w:val="0"/>
        <w:spacing w:line="570" w:lineRule="exact"/>
        <w:ind w:right="-99" w:rightChars="-47" w:firstLine="640" w:firstLineChars="200"/>
        <w:rPr>
          <w:rFonts w:eastAsia="仿宋_GB2312"/>
          <w:color w:val="auto"/>
          <w:sz w:val="32"/>
          <w:szCs w:val="32"/>
        </w:rPr>
        <w:sectPr>
          <w:headerReference r:id="rId3" w:type="default"/>
          <w:footerReference r:id="rId4" w:type="default"/>
          <w:pgSz w:w="11906" w:h="16838"/>
          <w:pgMar w:top="1440" w:right="1196" w:bottom="1440" w:left="1470" w:header="851" w:footer="992" w:gutter="0"/>
          <w:cols w:space="720" w:num="1"/>
          <w:docGrid w:linePitch="312" w:charSpace="0"/>
        </w:sectPr>
      </w:pPr>
    </w:p>
    <w:p>
      <w:pPr>
        <w:pStyle w:val="2"/>
        <w:rPr>
          <w:rFonts w:hint="eastAsia"/>
        </w:rPr>
      </w:pPr>
    </w:p>
    <w:p>
      <w:pPr>
        <w:pStyle w:val="13"/>
        <w:spacing w:line="620" w:lineRule="exact"/>
        <w:ind w:firstLine="880" w:firstLineChars="200"/>
        <w:jc w:val="center"/>
        <w:rPr>
          <w:rFonts w:hint="eastAsia" w:ascii="方正小标宋_GBK" w:hAnsi="方正小标宋_GBK" w:eastAsia="方正小标宋_GBK" w:cs="方正小标宋_GBK"/>
          <w:color w:val="auto"/>
          <w:sz w:val="44"/>
          <w:szCs w:val="44"/>
        </w:rPr>
      </w:pPr>
    </w:p>
    <w:p>
      <w:pPr>
        <w:pStyle w:val="13"/>
        <w:spacing w:line="620" w:lineRule="exact"/>
        <w:ind w:firstLine="880" w:firstLineChars="200"/>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广安市不动产登记中心不动产登记责任保险项目采购合同</w:t>
      </w:r>
    </w:p>
    <w:p>
      <w:pPr>
        <w:pStyle w:val="13"/>
        <w:spacing w:line="360" w:lineRule="auto"/>
        <w:ind w:firstLine="480" w:firstLineChars="200"/>
        <w:rPr>
          <w:rFonts w:ascii="宋体" w:hAnsi="宋体"/>
          <w:color w:val="auto"/>
          <w:sz w:val="24"/>
          <w:szCs w:val="24"/>
        </w:rPr>
      </w:pPr>
    </w:p>
    <w:p>
      <w:pPr>
        <w:pStyle w:val="13"/>
        <w:spacing w:line="360" w:lineRule="auto"/>
        <w:ind w:firstLine="480" w:firstLineChars="200"/>
        <w:rPr>
          <w:rFonts w:ascii="宋体" w:hAnsi="宋体"/>
          <w:color w:val="auto"/>
          <w:sz w:val="24"/>
        </w:rPr>
      </w:pPr>
      <w:r>
        <w:rPr>
          <w:rFonts w:hint="eastAsia" w:ascii="宋体" w:hAnsi="宋体"/>
          <w:color w:val="auto"/>
          <w:sz w:val="24"/>
        </w:rPr>
        <w:t>采购人（</w:t>
      </w:r>
      <w:r>
        <w:rPr>
          <w:rFonts w:ascii="宋体" w:hAnsi="宋体"/>
          <w:color w:val="auto"/>
          <w:sz w:val="24"/>
        </w:rPr>
        <w:t>甲方</w:t>
      </w:r>
      <w:r>
        <w:rPr>
          <w:rFonts w:hint="eastAsia" w:ascii="宋体" w:hAnsi="宋体"/>
          <w:color w:val="auto"/>
          <w:sz w:val="24"/>
        </w:rPr>
        <w:t>）</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u w:val="single"/>
        </w:rPr>
        <w:t>广安市不动产登记中心</w:t>
      </w:r>
      <w:r>
        <w:rPr>
          <w:rFonts w:ascii="宋体" w:hAnsi="宋体"/>
          <w:color w:val="auto"/>
          <w:sz w:val="24"/>
          <w:u w:val="single"/>
        </w:rPr>
        <w:t xml:space="preserve"> </w:t>
      </w:r>
    </w:p>
    <w:p>
      <w:pPr>
        <w:pStyle w:val="13"/>
        <w:spacing w:line="360" w:lineRule="auto"/>
        <w:ind w:firstLine="480" w:firstLineChars="200"/>
        <w:rPr>
          <w:rFonts w:ascii="宋体" w:hAnsi="宋体"/>
          <w:color w:val="auto"/>
          <w:sz w:val="24"/>
          <w:u w:val="single"/>
        </w:rPr>
      </w:pPr>
      <w:r>
        <w:rPr>
          <w:rFonts w:hint="eastAsia" w:ascii="宋体" w:hAnsi="宋体"/>
          <w:color w:val="auto"/>
          <w:sz w:val="24"/>
        </w:rPr>
        <w:t>供应商（乙</w:t>
      </w:r>
      <w:r>
        <w:rPr>
          <w:rFonts w:ascii="宋体" w:hAnsi="宋体"/>
          <w:color w:val="auto"/>
          <w:sz w:val="24"/>
        </w:rPr>
        <w:t>方</w:t>
      </w:r>
      <w:r>
        <w:rPr>
          <w:rFonts w:hint="eastAsia" w:ascii="宋体" w:hAnsi="宋体"/>
          <w:color w:val="auto"/>
          <w:sz w:val="24"/>
        </w:rPr>
        <w:t>）</w:t>
      </w:r>
      <w:r>
        <w:rPr>
          <w:rFonts w:ascii="宋体" w:hAnsi="宋体"/>
          <w:color w:val="auto"/>
          <w:sz w:val="24"/>
        </w:rPr>
        <w:t>：</w:t>
      </w:r>
      <w:r>
        <w:rPr>
          <w:rFonts w:ascii="宋体" w:hAnsi="宋体"/>
          <w:color w:val="auto"/>
          <w:sz w:val="24"/>
          <w:u w:val="single"/>
        </w:rPr>
        <w:t xml:space="preserve">                              </w:t>
      </w:r>
    </w:p>
    <w:p>
      <w:pPr>
        <w:pStyle w:val="13"/>
        <w:spacing w:line="360" w:lineRule="auto"/>
        <w:ind w:firstLine="480" w:firstLineChars="200"/>
        <w:rPr>
          <w:rFonts w:ascii="宋体" w:hAnsi="宋体"/>
          <w:color w:val="auto"/>
          <w:sz w:val="24"/>
        </w:rPr>
      </w:pPr>
    </w:p>
    <w:p>
      <w:pPr>
        <w:pStyle w:val="13"/>
        <w:spacing w:line="360" w:lineRule="auto"/>
        <w:ind w:firstLine="480" w:firstLineChars="200"/>
        <w:rPr>
          <w:rFonts w:ascii="宋体" w:hAnsi="宋体"/>
          <w:color w:val="auto"/>
          <w:sz w:val="24"/>
        </w:rPr>
      </w:pPr>
      <w:r>
        <w:rPr>
          <w:rFonts w:ascii="宋体" w:hAnsi="宋体"/>
          <w:color w:val="auto"/>
          <w:sz w:val="24"/>
        </w:rPr>
        <w:t>依据《</w:t>
      </w:r>
      <w:r>
        <w:rPr>
          <w:rFonts w:hint="eastAsia" w:ascii="宋体" w:hAnsi="宋体"/>
          <w:color w:val="auto"/>
          <w:sz w:val="24"/>
        </w:rPr>
        <w:t>中华人民共和国民法典</w:t>
      </w:r>
      <w:r>
        <w:rPr>
          <w:rFonts w:ascii="宋体" w:hAnsi="宋体"/>
          <w:color w:val="auto"/>
          <w:sz w:val="24"/>
        </w:rPr>
        <w:t>》、《中华人民共和国政府采购法》</w:t>
      </w:r>
      <w:r>
        <w:rPr>
          <w:rFonts w:hint="eastAsia" w:ascii="宋体" w:hAnsi="宋体"/>
          <w:color w:val="auto"/>
          <w:sz w:val="24"/>
        </w:rPr>
        <w:t>与项目行业有关的法律法规，以及</w:t>
      </w:r>
      <w:r>
        <w:rPr>
          <w:rFonts w:hint="eastAsia" w:ascii="宋体" w:hAnsi="宋体"/>
          <w:color w:val="auto"/>
          <w:sz w:val="24"/>
          <w:u w:val="single"/>
        </w:rPr>
        <w:t>广安市不动产登记中心不动产登记责任保险项目</w:t>
      </w:r>
      <w:r>
        <w:rPr>
          <w:rFonts w:hint="eastAsia" w:ascii="宋体" w:hAnsi="宋体"/>
          <w:color w:val="auto"/>
          <w:sz w:val="24"/>
        </w:rPr>
        <w:t>的《采购文件》，乙方的《投标文件》及《中选通知书》，甲、乙双方同意签订本合同。详细技术说明及其他有关合同项目的特定信息由合同附件予以说明，合同附件及本项目的《采购文件》、《投标文件》、《成交通知书》等均为本合同的组成部分。</w:t>
      </w:r>
      <w:r>
        <w:rPr>
          <w:rFonts w:ascii="宋体" w:hAnsi="宋体"/>
          <w:color w:val="auto"/>
          <w:sz w:val="24"/>
        </w:rPr>
        <w:t xml:space="preserve"> </w:t>
      </w:r>
    </w:p>
    <w:p>
      <w:pPr>
        <w:pStyle w:val="13"/>
        <w:numPr>
          <w:ilvl w:val="0"/>
          <w:numId w:val="6"/>
        </w:numPr>
        <w:spacing w:line="360" w:lineRule="auto"/>
        <w:ind w:left="0" w:firstLine="482" w:firstLineChars="200"/>
        <w:rPr>
          <w:rFonts w:ascii="宋体" w:hAnsi="宋体"/>
          <w:b/>
          <w:color w:val="auto"/>
          <w:sz w:val="24"/>
        </w:rPr>
      </w:pPr>
      <w:r>
        <w:rPr>
          <w:rFonts w:hint="eastAsia" w:ascii="宋体" w:hAnsi="宋体"/>
          <w:b/>
          <w:color w:val="auto"/>
          <w:sz w:val="24"/>
        </w:rPr>
        <w:t>项目基本情况</w:t>
      </w:r>
    </w:p>
    <w:p>
      <w:pPr>
        <w:pStyle w:val="13"/>
        <w:spacing w:line="360" w:lineRule="auto"/>
        <w:ind w:firstLine="480" w:firstLineChars="200"/>
        <w:rPr>
          <w:rFonts w:ascii="宋体" w:hAnsi="宋体"/>
          <w:color w:val="auto"/>
          <w:sz w:val="24"/>
        </w:rPr>
      </w:pPr>
      <w:r>
        <w:rPr>
          <w:rFonts w:hint="eastAsia" w:ascii="宋体" w:hAnsi="宋体"/>
          <w:color w:val="auto"/>
          <w:sz w:val="24"/>
        </w:rPr>
        <w:t>为进一步降低登记风险，提高不动产登记</w:t>
      </w:r>
      <w:r>
        <w:rPr>
          <w:rFonts w:hint="eastAsia" w:ascii="宋体" w:hAnsi="宋体"/>
          <w:color w:val="auto"/>
          <w:sz w:val="24"/>
          <w:lang w:val="en-US" w:eastAsia="zh-CN"/>
        </w:rPr>
        <w:t>抗风险能力</w:t>
      </w:r>
      <w:r>
        <w:rPr>
          <w:rFonts w:hint="eastAsia" w:ascii="宋体" w:hAnsi="宋体"/>
          <w:color w:val="auto"/>
          <w:sz w:val="24"/>
        </w:rPr>
        <w:t>，结合工作实际，通过购买不动产登记责任保险，为不动产登记</w:t>
      </w:r>
      <w:r>
        <w:rPr>
          <w:rFonts w:hint="eastAsia" w:ascii="宋体" w:hAnsi="宋体"/>
          <w:color w:val="auto"/>
          <w:sz w:val="24"/>
          <w:lang w:val="en-US" w:eastAsia="zh-CN"/>
        </w:rPr>
        <w:t>相关</w:t>
      </w:r>
      <w:r>
        <w:rPr>
          <w:rFonts w:hint="eastAsia" w:ascii="宋体" w:hAnsi="宋体"/>
          <w:color w:val="auto"/>
          <w:sz w:val="24"/>
        </w:rPr>
        <w:t>业务从业人员提供职业风险保障，进一步优化服务质量、提高登记效率，同时更好地保护不动产权利人合法权益、方便企业和服务群众。</w:t>
      </w:r>
    </w:p>
    <w:p>
      <w:pPr>
        <w:pStyle w:val="13"/>
        <w:numPr>
          <w:ilvl w:val="0"/>
          <w:numId w:val="6"/>
        </w:numPr>
        <w:spacing w:line="360" w:lineRule="auto"/>
        <w:ind w:left="0" w:firstLine="482" w:firstLineChars="200"/>
        <w:rPr>
          <w:rFonts w:ascii="宋体" w:hAnsi="宋体"/>
          <w:b/>
          <w:color w:val="auto"/>
          <w:sz w:val="24"/>
        </w:rPr>
      </w:pPr>
      <w:r>
        <w:rPr>
          <w:rFonts w:hint="eastAsia" w:ascii="宋体" w:hAnsi="宋体"/>
          <w:b/>
          <w:color w:val="auto"/>
          <w:sz w:val="24"/>
        </w:rPr>
        <w:t>合同期限</w:t>
      </w:r>
    </w:p>
    <w:p>
      <w:pPr>
        <w:pStyle w:val="13"/>
        <w:spacing w:line="360" w:lineRule="auto"/>
        <w:ind w:firstLine="480" w:firstLineChars="200"/>
        <w:rPr>
          <w:rFonts w:ascii="宋体" w:hAnsi="宋体"/>
          <w:b/>
          <w:bCs/>
          <w:color w:val="auto"/>
          <w:sz w:val="24"/>
        </w:rPr>
      </w:pPr>
      <w:r>
        <w:rPr>
          <w:rFonts w:hint="eastAsia" w:ascii="宋体" w:hAnsi="宋体"/>
          <w:color w:val="auto"/>
          <w:sz w:val="24"/>
        </w:rPr>
        <w:t>合同服务期限为1年。</w:t>
      </w:r>
    </w:p>
    <w:p>
      <w:pPr>
        <w:pStyle w:val="13"/>
        <w:numPr>
          <w:ilvl w:val="0"/>
          <w:numId w:val="6"/>
        </w:numPr>
        <w:spacing w:line="360" w:lineRule="auto"/>
        <w:ind w:left="0" w:firstLine="482" w:firstLineChars="200"/>
        <w:rPr>
          <w:rFonts w:ascii="宋体" w:hAnsi="宋体"/>
          <w:b/>
          <w:color w:val="auto"/>
          <w:sz w:val="24"/>
        </w:rPr>
      </w:pPr>
      <w:r>
        <w:rPr>
          <w:rFonts w:hint="eastAsia" w:ascii="宋体" w:hAnsi="宋体"/>
          <w:b/>
          <w:color w:val="auto"/>
          <w:sz w:val="24"/>
        </w:rPr>
        <w:t>服务内容与质量标准</w:t>
      </w:r>
    </w:p>
    <w:p>
      <w:pPr>
        <w:pStyle w:val="13"/>
        <w:spacing w:line="360" w:lineRule="auto"/>
        <w:ind w:firstLine="480" w:firstLineChars="200"/>
        <w:rPr>
          <w:rFonts w:ascii="宋体" w:hAnsi="宋体"/>
          <w:color w:val="auto"/>
          <w:sz w:val="24"/>
        </w:rPr>
      </w:pPr>
      <w:r>
        <w:rPr>
          <w:rFonts w:hint="eastAsia" w:ascii="宋体" w:hAnsi="宋体"/>
          <w:color w:val="auto"/>
          <w:sz w:val="24"/>
        </w:rPr>
        <w:t>见广安市不动产登记中心不动产登记责任保险项目采购公告</w:t>
      </w:r>
      <w:r>
        <w:rPr>
          <w:rFonts w:hint="eastAsia" w:ascii="宋体" w:hAnsi="宋体"/>
          <w:color w:val="auto"/>
          <w:sz w:val="24"/>
          <w:lang w:eastAsia="zh-CN"/>
        </w:rPr>
        <w:t>。</w:t>
      </w:r>
    </w:p>
    <w:p>
      <w:pPr>
        <w:pStyle w:val="13"/>
        <w:numPr>
          <w:ilvl w:val="0"/>
          <w:numId w:val="6"/>
        </w:numPr>
        <w:spacing w:line="360" w:lineRule="auto"/>
        <w:ind w:left="0" w:firstLine="482" w:firstLineChars="200"/>
        <w:rPr>
          <w:rFonts w:ascii="宋体" w:hAnsi="宋体"/>
          <w:b/>
          <w:color w:val="auto"/>
          <w:sz w:val="24"/>
        </w:rPr>
      </w:pPr>
      <w:r>
        <w:rPr>
          <w:rFonts w:hint="eastAsia" w:ascii="宋体" w:hAnsi="宋体"/>
          <w:b/>
          <w:color w:val="auto"/>
          <w:sz w:val="24"/>
        </w:rPr>
        <w:t>服务费用及支付方式</w:t>
      </w:r>
    </w:p>
    <w:p>
      <w:pPr>
        <w:pStyle w:val="13"/>
        <w:numPr>
          <w:ilvl w:val="0"/>
          <w:numId w:val="7"/>
        </w:numPr>
        <w:spacing w:line="360" w:lineRule="auto"/>
        <w:ind w:left="0" w:firstLine="482" w:firstLineChars="200"/>
        <w:rPr>
          <w:rFonts w:ascii="宋体" w:hAnsi="宋体"/>
          <w:b/>
          <w:color w:val="auto"/>
          <w:sz w:val="24"/>
        </w:rPr>
      </w:pPr>
      <w:r>
        <w:rPr>
          <w:rFonts w:hint="eastAsia" w:ascii="宋体" w:hAnsi="宋体"/>
          <w:b/>
          <w:color w:val="auto"/>
          <w:sz w:val="24"/>
        </w:rPr>
        <w:t>本项目服务费用：</w:t>
      </w:r>
    </w:p>
    <w:p>
      <w:pPr>
        <w:pStyle w:val="13"/>
        <w:spacing w:line="360" w:lineRule="auto"/>
        <w:ind w:firstLine="480" w:firstLineChars="200"/>
        <w:rPr>
          <w:rFonts w:ascii="宋体" w:hAnsi="宋体"/>
          <w:color w:val="auto"/>
          <w:sz w:val="24"/>
        </w:rPr>
      </w:pPr>
      <w:r>
        <w:rPr>
          <w:rFonts w:hint="eastAsia" w:ascii="宋体" w:hAnsi="宋体"/>
          <w:color w:val="auto"/>
          <w:sz w:val="24"/>
        </w:rPr>
        <w:t>本项目合同金额为   元（ 元）。</w:t>
      </w:r>
    </w:p>
    <w:p>
      <w:pPr>
        <w:pStyle w:val="13"/>
        <w:numPr>
          <w:ilvl w:val="0"/>
          <w:numId w:val="7"/>
        </w:numPr>
        <w:tabs>
          <w:tab w:val="left" w:pos="780"/>
        </w:tabs>
        <w:spacing w:line="360" w:lineRule="auto"/>
        <w:ind w:left="0" w:firstLine="482" w:firstLineChars="200"/>
        <w:rPr>
          <w:rFonts w:ascii="宋体" w:hAnsi="宋体"/>
          <w:b/>
          <w:color w:val="auto"/>
          <w:sz w:val="24"/>
        </w:rPr>
      </w:pPr>
      <w:r>
        <w:rPr>
          <w:rFonts w:hint="eastAsia" w:ascii="宋体" w:hAnsi="宋体"/>
          <w:b/>
          <w:color w:val="auto"/>
          <w:sz w:val="24"/>
        </w:rPr>
        <w:t>服务费支付方式：</w:t>
      </w:r>
    </w:p>
    <w:p>
      <w:pPr>
        <w:pStyle w:val="13"/>
        <w:tabs>
          <w:tab w:val="left" w:pos="780"/>
        </w:tabs>
        <w:spacing w:line="360" w:lineRule="auto"/>
        <w:ind w:firstLine="480" w:firstLineChars="200"/>
        <w:jc w:val="left"/>
        <w:rPr>
          <w:rFonts w:ascii="宋体" w:hAnsi="宋体"/>
          <w:color w:val="auto"/>
          <w:sz w:val="24"/>
        </w:rPr>
      </w:pPr>
      <w:r>
        <w:rPr>
          <w:rFonts w:hint="eastAsia" w:ascii="宋体" w:hAnsi="宋体"/>
          <w:color w:val="auto"/>
          <w:sz w:val="24"/>
        </w:rPr>
        <w:t>乙方出具正式保险服务单后，付合同总价的</w:t>
      </w:r>
      <w:r>
        <w:rPr>
          <w:rFonts w:hint="eastAsia" w:ascii="宋体" w:hAnsi="宋体"/>
          <w:color w:val="auto"/>
          <w:sz w:val="24"/>
          <w:u w:val="single"/>
        </w:rPr>
        <w:t xml:space="preserve"> 100 </w:t>
      </w:r>
      <w:r>
        <w:rPr>
          <w:rFonts w:hint="eastAsia" w:ascii="宋体" w:hAnsi="宋体"/>
          <w:color w:val="auto"/>
          <w:sz w:val="24"/>
        </w:rPr>
        <w:t>%，即  万元（   元）。</w:t>
      </w:r>
    </w:p>
    <w:p>
      <w:pPr>
        <w:pStyle w:val="13"/>
        <w:numPr>
          <w:ilvl w:val="0"/>
          <w:numId w:val="6"/>
        </w:numPr>
        <w:spacing w:line="360" w:lineRule="auto"/>
        <w:ind w:left="0" w:firstLine="482" w:firstLineChars="200"/>
        <w:rPr>
          <w:rFonts w:ascii="宋体" w:hAnsi="宋体"/>
          <w:b/>
          <w:color w:val="auto"/>
          <w:sz w:val="24"/>
        </w:rPr>
      </w:pPr>
      <w:r>
        <w:rPr>
          <w:rFonts w:hint="eastAsia" w:ascii="宋体" w:hAnsi="宋体"/>
          <w:b/>
          <w:color w:val="auto"/>
          <w:sz w:val="24"/>
        </w:rPr>
        <w:t>知识产权</w:t>
      </w:r>
    </w:p>
    <w:p>
      <w:pPr>
        <w:pStyle w:val="13"/>
        <w:tabs>
          <w:tab w:val="left" w:pos="1440"/>
        </w:tabs>
        <w:spacing w:line="360" w:lineRule="auto"/>
        <w:ind w:firstLine="480" w:firstLineChars="200"/>
        <w:rPr>
          <w:rFonts w:ascii="宋体" w:hAnsi="宋体"/>
          <w:color w:val="auto"/>
          <w:sz w:val="24"/>
        </w:rPr>
      </w:pPr>
      <w:r>
        <w:rPr>
          <w:rFonts w:hint="eastAsia" w:ascii="宋体" w:hAnsi="宋体"/>
          <w:color w:val="auto"/>
          <w:sz w:val="24"/>
        </w:rPr>
        <w:t>乙方应保证所提供的服务或其任何一部分均不会侵犯任何第三方的专利权、商标权或著作权。</w:t>
      </w:r>
    </w:p>
    <w:p>
      <w:pPr>
        <w:pStyle w:val="13"/>
        <w:numPr>
          <w:ilvl w:val="0"/>
          <w:numId w:val="6"/>
        </w:numPr>
        <w:spacing w:line="360" w:lineRule="auto"/>
        <w:ind w:left="0" w:firstLine="482" w:firstLineChars="200"/>
        <w:rPr>
          <w:rFonts w:ascii="宋体" w:hAnsi="宋体"/>
          <w:b/>
          <w:color w:val="auto"/>
          <w:sz w:val="24"/>
        </w:rPr>
      </w:pPr>
      <w:r>
        <w:rPr>
          <w:rFonts w:hint="eastAsia" w:ascii="宋体" w:hAnsi="宋体"/>
          <w:b/>
          <w:color w:val="auto"/>
          <w:sz w:val="24"/>
        </w:rPr>
        <w:t>无产权瑕疵条款</w:t>
      </w:r>
    </w:p>
    <w:p>
      <w:pPr>
        <w:pStyle w:val="13"/>
        <w:tabs>
          <w:tab w:val="left" w:pos="1440"/>
        </w:tabs>
        <w:spacing w:line="360" w:lineRule="auto"/>
        <w:ind w:firstLine="480" w:firstLineChars="200"/>
        <w:rPr>
          <w:rFonts w:ascii="宋体" w:hAnsi="宋体"/>
          <w:bCs/>
          <w:color w:val="auto"/>
          <w:sz w:val="24"/>
        </w:rPr>
      </w:pPr>
      <w:r>
        <w:rPr>
          <w:rFonts w:hint="eastAsia" w:ascii="宋体" w:hAnsi="宋体"/>
          <w:color w:val="auto"/>
          <w:sz w:val="24"/>
        </w:rPr>
        <w:t>乙方保证所提供的服务的所有权完全属于乙方且无任何抵押、查封等产权瑕疵。如有产权瑕疵的，视为乙方违约。乙方应负担由此而产生的一切损失。</w:t>
      </w:r>
    </w:p>
    <w:p>
      <w:pPr>
        <w:pStyle w:val="13"/>
        <w:numPr>
          <w:ilvl w:val="0"/>
          <w:numId w:val="6"/>
        </w:numPr>
        <w:spacing w:line="360" w:lineRule="auto"/>
        <w:ind w:left="0" w:firstLine="482" w:firstLineChars="200"/>
        <w:rPr>
          <w:rFonts w:ascii="宋体" w:hAnsi="宋体"/>
          <w:b/>
          <w:color w:val="auto"/>
          <w:sz w:val="24"/>
        </w:rPr>
      </w:pPr>
      <w:r>
        <w:rPr>
          <w:rFonts w:ascii="宋体" w:hAnsi="宋体"/>
          <w:b/>
          <w:color w:val="auto"/>
          <w:sz w:val="24"/>
        </w:rPr>
        <w:t>甲方的权利和义务</w:t>
      </w:r>
    </w:p>
    <w:p>
      <w:pPr>
        <w:pStyle w:val="13"/>
        <w:adjustRightInd w:val="0"/>
        <w:spacing w:line="360" w:lineRule="auto"/>
        <w:ind w:firstLine="480" w:firstLineChars="200"/>
        <w:jc w:val="left"/>
        <w:textAlignment w:val="baseline"/>
        <w:rPr>
          <w:rFonts w:ascii="宋体" w:hAnsi="宋体"/>
          <w:bCs/>
          <w:color w:val="auto"/>
          <w:sz w:val="24"/>
        </w:rPr>
      </w:pPr>
      <w:r>
        <w:rPr>
          <w:rFonts w:hint="eastAsia" w:ascii="宋体" w:hAnsi="宋体"/>
          <w:bCs/>
          <w:color w:val="auto"/>
          <w:sz w:val="24"/>
        </w:rPr>
        <w:t>1、</w:t>
      </w:r>
      <w:r>
        <w:rPr>
          <w:rFonts w:ascii="宋体" w:hAnsi="宋体"/>
          <w:bCs/>
          <w:color w:val="auto"/>
          <w:sz w:val="24"/>
        </w:rPr>
        <w:t>甲方有权对合同规定范围内</w:t>
      </w:r>
      <w:r>
        <w:rPr>
          <w:rFonts w:hint="eastAsia" w:ascii="宋体" w:hAnsi="宋体"/>
          <w:bCs/>
          <w:color w:val="auto"/>
          <w:sz w:val="24"/>
        </w:rPr>
        <w:t>乙方的服务行为</w:t>
      </w:r>
      <w:r>
        <w:rPr>
          <w:rFonts w:ascii="宋体" w:hAnsi="宋体"/>
          <w:bCs/>
          <w:color w:val="auto"/>
          <w:sz w:val="24"/>
        </w:rPr>
        <w:t>进行监督和检查，拥有监管权。有权定期核对乙方提供服务所配备的人员数量。对甲方认为不合理的部分有权</w:t>
      </w:r>
      <w:r>
        <w:rPr>
          <w:rFonts w:hint="eastAsia" w:ascii="宋体" w:hAnsi="宋体"/>
          <w:bCs/>
          <w:color w:val="auto"/>
          <w:sz w:val="24"/>
        </w:rPr>
        <w:t>下达整改通知书，并</w:t>
      </w:r>
      <w:r>
        <w:rPr>
          <w:rFonts w:ascii="宋体" w:hAnsi="宋体"/>
          <w:bCs/>
          <w:color w:val="auto"/>
          <w:sz w:val="24"/>
        </w:rPr>
        <w:t>要求乙方</w:t>
      </w:r>
      <w:r>
        <w:rPr>
          <w:rFonts w:hint="eastAsia" w:ascii="宋体" w:hAnsi="宋体"/>
          <w:bCs/>
          <w:color w:val="auto"/>
          <w:sz w:val="24"/>
        </w:rPr>
        <w:t>限期整改</w:t>
      </w:r>
      <w:r>
        <w:rPr>
          <w:rFonts w:ascii="宋体" w:hAnsi="宋体"/>
          <w:bCs/>
          <w:color w:val="auto"/>
          <w:sz w:val="24"/>
        </w:rPr>
        <w:t>。</w:t>
      </w:r>
    </w:p>
    <w:p>
      <w:pPr>
        <w:pStyle w:val="13"/>
        <w:adjustRightInd w:val="0"/>
        <w:spacing w:line="360" w:lineRule="auto"/>
        <w:ind w:firstLine="480" w:firstLineChars="200"/>
        <w:jc w:val="left"/>
        <w:textAlignment w:val="baseline"/>
        <w:rPr>
          <w:rFonts w:ascii="宋体" w:hAnsi="宋体"/>
          <w:bCs/>
          <w:color w:val="auto"/>
          <w:sz w:val="24"/>
        </w:rPr>
      </w:pPr>
      <w:r>
        <w:rPr>
          <w:rFonts w:hint="eastAsia" w:ascii="宋体" w:hAnsi="宋体"/>
          <w:bCs/>
          <w:color w:val="auto"/>
          <w:sz w:val="24"/>
        </w:rPr>
        <w:t>2、</w:t>
      </w:r>
      <w:r>
        <w:rPr>
          <w:rFonts w:ascii="宋体" w:hAnsi="宋体"/>
          <w:bCs/>
          <w:color w:val="auto"/>
          <w:sz w:val="24"/>
        </w:rPr>
        <w:t>负责检查监督乙方管理工作的实施及制度的执行情况。</w:t>
      </w:r>
    </w:p>
    <w:p>
      <w:pPr>
        <w:pStyle w:val="13"/>
        <w:adjustRightInd w:val="0"/>
        <w:spacing w:line="360" w:lineRule="auto"/>
        <w:ind w:firstLine="480" w:firstLineChars="200"/>
        <w:jc w:val="left"/>
        <w:textAlignment w:val="baseline"/>
        <w:rPr>
          <w:rFonts w:ascii="宋体" w:hAnsi="宋体"/>
          <w:bCs/>
          <w:color w:val="auto"/>
          <w:sz w:val="24"/>
        </w:rPr>
      </w:pPr>
      <w:r>
        <w:rPr>
          <w:rFonts w:hint="eastAsia" w:ascii="宋体" w:hAnsi="宋体"/>
          <w:bCs/>
          <w:color w:val="auto"/>
          <w:sz w:val="24"/>
        </w:rPr>
        <w:t>3、</w:t>
      </w:r>
      <w:r>
        <w:rPr>
          <w:rFonts w:ascii="宋体" w:hAnsi="宋体"/>
          <w:bCs/>
          <w:color w:val="auto"/>
          <w:sz w:val="24"/>
        </w:rPr>
        <w:t>根据本合同规定，按时向乙方支付应付</w:t>
      </w:r>
      <w:r>
        <w:rPr>
          <w:rFonts w:hint="eastAsia" w:ascii="宋体" w:hAnsi="宋体"/>
          <w:bCs/>
          <w:color w:val="auto"/>
          <w:sz w:val="24"/>
        </w:rPr>
        <w:t>服务费用</w:t>
      </w:r>
      <w:r>
        <w:rPr>
          <w:rFonts w:ascii="宋体" w:hAnsi="宋体"/>
          <w:bCs/>
          <w:color w:val="auto"/>
          <w:sz w:val="24"/>
        </w:rPr>
        <w:t>。</w:t>
      </w:r>
    </w:p>
    <w:p>
      <w:pPr>
        <w:pStyle w:val="13"/>
        <w:adjustRightInd w:val="0"/>
        <w:spacing w:line="360" w:lineRule="auto"/>
        <w:ind w:firstLine="480" w:firstLineChars="200"/>
        <w:jc w:val="left"/>
        <w:textAlignment w:val="baseline"/>
        <w:rPr>
          <w:rFonts w:ascii="宋体" w:hAnsi="宋体"/>
          <w:bCs/>
          <w:color w:val="auto"/>
          <w:sz w:val="24"/>
        </w:rPr>
      </w:pPr>
      <w:r>
        <w:rPr>
          <w:rFonts w:hint="eastAsia" w:ascii="宋体" w:hAnsi="宋体"/>
          <w:bCs/>
          <w:color w:val="auto"/>
          <w:sz w:val="24"/>
        </w:rPr>
        <w:t>4、</w:t>
      </w:r>
      <w:r>
        <w:rPr>
          <w:rFonts w:ascii="宋体" w:hAnsi="宋体"/>
          <w:bCs/>
          <w:color w:val="auto"/>
          <w:sz w:val="24"/>
        </w:rPr>
        <w:t>国家法律、法规所规定由甲方承担的其它责任。</w:t>
      </w:r>
    </w:p>
    <w:p>
      <w:pPr>
        <w:pStyle w:val="13"/>
        <w:numPr>
          <w:ilvl w:val="0"/>
          <w:numId w:val="6"/>
        </w:numPr>
        <w:spacing w:line="360" w:lineRule="auto"/>
        <w:ind w:left="0" w:firstLine="482" w:firstLineChars="200"/>
        <w:rPr>
          <w:rFonts w:ascii="宋体" w:hAnsi="宋体"/>
          <w:b/>
          <w:color w:val="auto"/>
          <w:sz w:val="24"/>
        </w:rPr>
      </w:pPr>
      <w:r>
        <w:rPr>
          <w:rFonts w:ascii="宋体" w:hAnsi="宋体"/>
          <w:b/>
          <w:color w:val="auto"/>
          <w:sz w:val="24"/>
        </w:rPr>
        <w:t>乙方的权利和义务</w:t>
      </w:r>
    </w:p>
    <w:p>
      <w:pPr>
        <w:pStyle w:val="13"/>
        <w:adjustRightInd w:val="0"/>
        <w:spacing w:line="360" w:lineRule="auto"/>
        <w:ind w:firstLine="480" w:firstLineChars="200"/>
        <w:jc w:val="left"/>
        <w:textAlignment w:val="baseline"/>
        <w:rPr>
          <w:rFonts w:ascii="宋体" w:hAnsi="宋体"/>
          <w:bCs/>
          <w:color w:val="auto"/>
          <w:sz w:val="24"/>
        </w:rPr>
      </w:pPr>
      <w:r>
        <w:rPr>
          <w:rFonts w:hint="eastAsia" w:ascii="宋体" w:hAnsi="宋体"/>
          <w:bCs/>
          <w:color w:val="auto"/>
          <w:sz w:val="24"/>
        </w:rPr>
        <w:t>1、</w:t>
      </w:r>
      <w:r>
        <w:rPr>
          <w:rFonts w:ascii="宋体" w:hAnsi="宋体"/>
          <w:bCs/>
          <w:color w:val="auto"/>
          <w:sz w:val="24"/>
        </w:rPr>
        <w:t>对本合同规定的委托</w:t>
      </w:r>
      <w:r>
        <w:rPr>
          <w:rFonts w:hint="eastAsia" w:ascii="宋体" w:hAnsi="宋体"/>
          <w:bCs/>
          <w:color w:val="auto"/>
          <w:sz w:val="24"/>
        </w:rPr>
        <w:t>服务</w:t>
      </w:r>
      <w:r>
        <w:rPr>
          <w:rFonts w:ascii="宋体" w:hAnsi="宋体"/>
          <w:bCs/>
          <w:color w:val="auto"/>
          <w:sz w:val="24"/>
        </w:rPr>
        <w:t>范围内的</w:t>
      </w:r>
      <w:r>
        <w:rPr>
          <w:rFonts w:hint="eastAsia" w:ascii="宋体" w:hAnsi="宋体"/>
          <w:bCs/>
          <w:color w:val="auto"/>
          <w:sz w:val="24"/>
        </w:rPr>
        <w:t>项目</w:t>
      </w:r>
      <w:r>
        <w:rPr>
          <w:rFonts w:ascii="宋体" w:hAnsi="宋体"/>
          <w:bCs/>
          <w:color w:val="auto"/>
          <w:sz w:val="24"/>
        </w:rPr>
        <w:t>享有管理权及服务义务。</w:t>
      </w:r>
    </w:p>
    <w:p>
      <w:pPr>
        <w:pStyle w:val="13"/>
        <w:adjustRightInd w:val="0"/>
        <w:spacing w:line="360" w:lineRule="auto"/>
        <w:ind w:firstLine="480" w:firstLineChars="200"/>
        <w:jc w:val="left"/>
        <w:textAlignment w:val="baseline"/>
        <w:rPr>
          <w:rFonts w:ascii="宋体" w:hAnsi="宋体"/>
          <w:bCs/>
          <w:color w:val="auto"/>
          <w:sz w:val="24"/>
        </w:rPr>
      </w:pPr>
      <w:r>
        <w:rPr>
          <w:rFonts w:hint="eastAsia" w:ascii="宋体" w:hAnsi="宋体"/>
          <w:bCs/>
          <w:color w:val="auto"/>
          <w:sz w:val="24"/>
        </w:rPr>
        <w:t>2、</w:t>
      </w:r>
      <w:r>
        <w:rPr>
          <w:rFonts w:ascii="宋体" w:hAnsi="宋体"/>
          <w:bCs/>
          <w:color w:val="auto"/>
          <w:sz w:val="24"/>
        </w:rPr>
        <w:t>根据本合同的规定向甲方收取相关</w:t>
      </w:r>
      <w:r>
        <w:rPr>
          <w:rFonts w:hint="eastAsia" w:ascii="宋体" w:hAnsi="宋体"/>
          <w:bCs/>
          <w:color w:val="auto"/>
          <w:sz w:val="24"/>
        </w:rPr>
        <w:t>服务</w:t>
      </w:r>
      <w:r>
        <w:rPr>
          <w:rFonts w:ascii="宋体" w:hAnsi="宋体"/>
          <w:bCs/>
          <w:color w:val="auto"/>
          <w:sz w:val="24"/>
        </w:rPr>
        <w:t>费用，并有权</w:t>
      </w:r>
      <w:r>
        <w:rPr>
          <w:rFonts w:hint="eastAsia" w:ascii="宋体" w:hAnsi="宋体"/>
          <w:bCs/>
          <w:color w:val="auto"/>
          <w:sz w:val="24"/>
        </w:rPr>
        <w:t>在本项目管理范围内</w:t>
      </w:r>
      <w:r>
        <w:rPr>
          <w:rFonts w:ascii="宋体" w:hAnsi="宋体"/>
          <w:bCs/>
          <w:color w:val="auto"/>
          <w:sz w:val="24"/>
        </w:rPr>
        <w:t>管理及合理使用。</w:t>
      </w:r>
    </w:p>
    <w:p>
      <w:pPr>
        <w:pStyle w:val="13"/>
        <w:adjustRightInd w:val="0"/>
        <w:spacing w:line="360" w:lineRule="auto"/>
        <w:ind w:firstLine="480" w:firstLineChars="200"/>
        <w:jc w:val="left"/>
        <w:textAlignment w:val="baseline"/>
        <w:rPr>
          <w:rFonts w:ascii="宋体" w:hAnsi="宋体"/>
          <w:color w:val="auto"/>
          <w:sz w:val="24"/>
        </w:rPr>
      </w:pPr>
      <w:r>
        <w:rPr>
          <w:rFonts w:hint="eastAsia" w:ascii="宋体" w:hAnsi="宋体"/>
          <w:color w:val="auto"/>
          <w:sz w:val="24"/>
        </w:rPr>
        <w:t>3、及时向甲方通告本项目服务范围内有关服务的重大事项，及时配合处理投诉。</w:t>
      </w:r>
    </w:p>
    <w:p>
      <w:pPr>
        <w:pStyle w:val="13"/>
        <w:adjustRightInd w:val="0"/>
        <w:spacing w:line="360" w:lineRule="auto"/>
        <w:ind w:firstLine="480" w:firstLineChars="200"/>
        <w:jc w:val="left"/>
        <w:textAlignment w:val="baseline"/>
        <w:rPr>
          <w:rFonts w:ascii="宋体" w:hAnsi="宋体"/>
          <w:bCs/>
          <w:color w:val="auto"/>
          <w:sz w:val="24"/>
        </w:rPr>
      </w:pPr>
      <w:r>
        <w:rPr>
          <w:rFonts w:hint="eastAsia" w:ascii="宋体" w:hAnsi="宋体"/>
          <w:color w:val="auto"/>
          <w:sz w:val="24"/>
        </w:rPr>
        <w:t>4、</w:t>
      </w:r>
      <w:r>
        <w:rPr>
          <w:rFonts w:ascii="宋体" w:hAnsi="宋体"/>
          <w:bCs/>
          <w:color w:val="auto"/>
          <w:sz w:val="24"/>
        </w:rPr>
        <w:t>接受</w:t>
      </w:r>
      <w:r>
        <w:rPr>
          <w:rFonts w:hint="eastAsia" w:ascii="宋体" w:hAnsi="宋体"/>
          <w:bCs/>
          <w:color w:val="auto"/>
          <w:sz w:val="24"/>
        </w:rPr>
        <w:t>项目行</w:t>
      </w:r>
      <w:r>
        <w:rPr>
          <w:rFonts w:ascii="宋体" w:hAnsi="宋体"/>
          <w:bCs/>
          <w:color w:val="auto"/>
          <w:sz w:val="24"/>
        </w:rPr>
        <w:t>业管理部门及政府有关部门的指导，接受甲方的监督。</w:t>
      </w:r>
    </w:p>
    <w:p>
      <w:pPr>
        <w:pStyle w:val="13"/>
        <w:adjustRightInd w:val="0"/>
        <w:spacing w:line="360" w:lineRule="auto"/>
        <w:ind w:firstLine="480" w:firstLineChars="200"/>
        <w:jc w:val="left"/>
        <w:textAlignment w:val="baseline"/>
        <w:rPr>
          <w:rFonts w:ascii="宋体" w:hAnsi="宋体"/>
          <w:bCs/>
          <w:color w:val="auto"/>
          <w:sz w:val="24"/>
        </w:rPr>
      </w:pPr>
      <w:r>
        <w:rPr>
          <w:rFonts w:hint="eastAsia" w:ascii="宋体" w:hAnsi="宋体"/>
          <w:bCs/>
          <w:color w:val="auto"/>
          <w:sz w:val="24"/>
        </w:rPr>
        <w:t>5、</w:t>
      </w:r>
      <w:r>
        <w:rPr>
          <w:rFonts w:ascii="宋体" w:hAnsi="宋体"/>
          <w:bCs/>
          <w:color w:val="auto"/>
          <w:sz w:val="24"/>
        </w:rPr>
        <w:t>国家法律、法规所规定由乙方承担的其它责任。</w:t>
      </w:r>
    </w:p>
    <w:p>
      <w:pPr>
        <w:pStyle w:val="13"/>
        <w:numPr>
          <w:ilvl w:val="0"/>
          <w:numId w:val="6"/>
        </w:numPr>
        <w:spacing w:line="360" w:lineRule="auto"/>
        <w:ind w:left="0" w:firstLine="482" w:firstLineChars="200"/>
        <w:rPr>
          <w:rFonts w:ascii="宋体" w:hAnsi="宋体"/>
          <w:b/>
          <w:color w:val="auto"/>
          <w:sz w:val="24"/>
        </w:rPr>
      </w:pPr>
      <w:r>
        <w:rPr>
          <w:rFonts w:ascii="宋体" w:hAnsi="宋体"/>
          <w:b/>
          <w:color w:val="auto"/>
          <w:sz w:val="24"/>
        </w:rPr>
        <w:t>违约责任</w:t>
      </w:r>
    </w:p>
    <w:p>
      <w:pPr>
        <w:pStyle w:val="13"/>
        <w:adjustRightInd w:val="0"/>
        <w:spacing w:line="360" w:lineRule="auto"/>
        <w:ind w:firstLine="480" w:firstLineChars="200"/>
        <w:jc w:val="left"/>
        <w:textAlignment w:val="baseline"/>
        <w:rPr>
          <w:rFonts w:ascii="宋体" w:hAnsi="宋体"/>
          <w:bCs/>
          <w:color w:val="auto"/>
          <w:sz w:val="24"/>
        </w:rPr>
      </w:pPr>
      <w:r>
        <w:rPr>
          <w:rFonts w:hint="eastAsia" w:ascii="宋体" w:hAnsi="宋体"/>
          <w:bCs/>
          <w:color w:val="auto"/>
          <w:sz w:val="24"/>
        </w:rPr>
        <w:t>1、</w:t>
      </w:r>
      <w:r>
        <w:rPr>
          <w:rFonts w:ascii="宋体" w:hAnsi="宋体"/>
          <w:bCs/>
          <w:color w:val="auto"/>
          <w:sz w:val="24"/>
        </w:rPr>
        <w:t>甲乙双方必须遵守本合同并执行合同中的各项规定，保证</w:t>
      </w:r>
      <w:r>
        <w:rPr>
          <w:rFonts w:hint="eastAsia" w:ascii="宋体" w:hAnsi="宋体"/>
          <w:bCs/>
          <w:color w:val="auto"/>
          <w:sz w:val="24"/>
        </w:rPr>
        <w:t>本</w:t>
      </w:r>
      <w:r>
        <w:rPr>
          <w:rFonts w:ascii="宋体" w:hAnsi="宋体"/>
          <w:bCs/>
          <w:color w:val="auto"/>
          <w:sz w:val="24"/>
        </w:rPr>
        <w:t>合同的正常</w:t>
      </w:r>
      <w:r>
        <w:rPr>
          <w:rFonts w:hint="eastAsia" w:ascii="宋体" w:hAnsi="宋体"/>
          <w:bCs/>
          <w:color w:val="auto"/>
          <w:sz w:val="24"/>
        </w:rPr>
        <w:t>履行</w:t>
      </w:r>
      <w:r>
        <w:rPr>
          <w:rFonts w:ascii="宋体" w:hAnsi="宋体"/>
          <w:bCs/>
          <w:color w:val="auto"/>
          <w:sz w:val="24"/>
        </w:rPr>
        <w:t>。</w:t>
      </w:r>
    </w:p>
    <w:p>
      <w:pPr>
        <w:pStyle w:val="13"/>
        <w:adjustRightInd w:val="0"/>
        <w:spacing w:line="360" w:lineRule="auto"/>
        <w:ind w:firstLine="480" w:firstLineChars="200"/>
        <w:jc w:val="left"/>
        <w:textAlignment w:val="baseline"/>
        <w:rPr>
          <w:rFonts w:ascii="宋体" w:hAnsi="宋体"/>
          <w:bCs/>
          <w:color w:val="auto"/>
          <w:sz w:val="24"/>
        </w:rPr>
      </w:pPr>
      <w:r>
        <w:rPr>
          <w:rFonts w:hint="eastAsia" w:ascii="宋体" w:hAnsi="宋体"/>
          <w:bCs/>
          <w:color w:val="auto"/>
          <w:sz w:val="24"/>
        </w:rPr>
        <w:t>2、</w:t>
      </w:r>
      <w:r>
        <w:rPr>
          <w:rFonts w:ascii="宋体" w:hAnsi="宋体"/>
          <w:bCs/>
          <w:color w:val="auto"/>
          <w:sz w:val="24"/>
        </w:rPr>
        <w:t>如因乙方</w:t>
      </w:r>
      <w:r>
        <w:rPr>
          <w:rFonts w:hint="eastAsia" w:ascii="宋体" w:hAnsi="宋体"/>
          <w:bCs/>
          <w:color w:val="auto"/>
          <w:sz w:val="24"/>
        </w:rPr>
        <w:t>工作人员在履行职务过程中的</w:t>
      </w:r>
      <w:r>
        <w:rPr>
          <w:rFonts w:ascii="宋体" w:hAnsi="宋体"/>
          <w:bCs/>
          <w:color w:val="auto"/>
          <w:sz w:val="24"/>
        </w:rPr>
        <w:t>疏忽、失职、过错等</w:t>
      </w:r>
      <w:r>
        <w:rPr>
          <w:rFonts w:hint="eastAsia" w:ascii="宋体" w:hAnsi="宋体"/>
          <w:bCs/>
          <w:color w:val="auto"/>
          <w:sz w:val="24"/>
        </w:rPr>
        <w:t>故意或者过失</w:t>
      </w:r>
      <w:r>
        <w:rPr>
          <w:rFonts w:ascii="宋体" w:hAnsi="宋体"/>
          <w:bCs/>
          <w:color w:val="auto"/>
          <w:sz w:val="24"/>
        </w:rPr>
        <w:t>原因给甲方造成损失或侵害，</w:t>
      </w:r>
      <w:r>
        <w:rPr>
          <w:rFonts w:hint="eastAsia" w:ascii="宋体" w:hAnsi="宋体"/>
          <w:bCs/>
          <w:color w:val="auto"/>
          <w:sz w:val="24"/>
        </w:rPr>
        <w:t>包括但不限于甲方本身的财产损失、由此而导致的甲方对任何第三方的法律责任等，乙方对此均应承担全部的赔偿责任</w:t>
      </w:r>
      <w:r>
        <w:rPr>
          <w:rFonts w:ascii="宋体" w:hAnsi="宋体"/>
          <w:bCs/>
          <w:color w:val="auto"/>
          <w:sz w:val="24"/>
        </w:rPr>
        <w:t>。</w:t>
      </w:r>
    </w:p>
    <w:p>
      <w:pPr>
        <w:pStyle w:val="13"/>
        <w:numPr>
          <w:ilvl w:val="0"/>
          <w:numId w:val="6"/>
        </w:numPr>
        <w:spacing w:line="360" w:lineRule="auto"/>
        <w:ind w:left="0" w:firstLine="482" w:firstLineChars="200"/>
        <w:rPr>
          <w:rFonts w:ascii="宋体" w:hAnsi="宋体"/>
          <w:b/>
          <w:color w:val="auto"/>
          <w:sz w:val="24"/>
        </w:rPr>
      </w:pPr>
      <w:r>
        <w:rPr>
          <w:rFonts w:hint="eastAsia" w:ascii="宋体" w:hAnsi="宋体"/>
          <w:b/>
          <w:color w:val="auto"/>
          <w:sz w:val="24"/>
        </w:rPr>
        <w:t>不可抗力事件处理</w:t>
      </w:r>
    </w:p>
    <w:p>
      <w:pPr>
        <w:pStyle w:val="13"/>
        <w:tabs>
          <w:tab w:val="left" w:pos="0"/>
        </w:tabs>
        <w:spacing w:line="360" w:lineRule="auto"/>
        <w:ind w:firstLine="480" w:firstLineChars="200"/>
        <w:rPr>
          <w:rFonts w:ascii="宋体" w:hAnsi="宋体"/>
          <w:color w:val="auto"/>
          <w:sz w:val="24"/>
        </w:rPr>
      </w:pPr>
      <w:r>
        <w:rPr>
          <w:rFonts w:hint="eastAsia" w:ascii="宋体" w:hAnsi="宋体"/>
          <w:color w:val="auto"/>
          <w:sz w:val="24"/>
        </w:rPr>
        <w:t>1、在合同有效期内，任何一方因不可抗力事件导致不能履行合同，则合同履行期可延长，其延长期与不可抗力影响期相同。</w:t>
      </w:r>
    </w:p>
    <w:p>
      <w:pPr>
        <w:pStyle w:val="13"/>
        <w:tabs>
          <w:tab w:val="left" w:pos="0"/>
        </w:tabs>
        <w:spacing w:line="360" w:lineRule="auto"/>
        <w:ind w:firstLine="480" w:firstLineChars="200"/>
        <w:rPr>
          <w:rFonts w:ascii="宋体" w:hAnsi="宋体"/>
          <w:color w:val="auto"/>
          <w:sz w:val="24"/>
        </w:rPr>
      </w:pPr>
      <w:r>
        <w:rPr>
          <w:rFonts w:hint="eastAsia" w:ascii="宋体" w:hAnsi="宋体"/>
          <w:color w:val="auto"/>
          <w:sz w:val="24"/>
        </w:rPr>
        <w:t>2、不可抗力事件发生后，应立即通知对方，并寄送有关权威机构出具的证明。</w:t>
      </w:r>
    </w:p>
    <w:p>
      <w:pPr>
        <w:pStyle w:val="13"/>
        <w:tabs>
          <w:tab w:val="left" w:pos="0"/>
        </w:tabs>
        <w:spacing w:line="360" w:lineRule="auto"/>
        <w:ind w:firstLine="480" w:firstLineChars="200"/>
        <w:rPr>
          <w:rFonts w:ascii="宋体" w:hAnsi="宋体"/>
          <w:color w:val="auto"/>
          <w:sz w:val="24"/>
        </w:rPr>
      </w:pPr>
      <w:r>
        <w:rPr>
          <w:rFonts w:hint="eastAsia" w:ascii="宋体" w:hAnsi="宋体"/>
          <w:color w:val="auto"/>
          <w:sz w:val="24"/>
        </w:rPr>
        <w:t>3、不可抗力事件延续30天以上，双方应通过友好协商，确定是否继续履行合同。</w:t>
      </w:r>
    </w:p>
    <w:p>
      <w:pPr>
        <w:pStyle w:val="13"/>
        <w:numPr>
          <w:ilvl w:val="0"/>
          <w:numId w:val="8"/>
        </w:numPr>
        <w:tabs>
          <w:tab w:val="left" w:pos="0"/>
          <w:tab w:val="left" w:pos="420"/>
        </w:tabs>
        <w:spacing w:line="360" w:lineRule="auto"/>
        <w:ind w:left="845" w:leftChars="0" w:hanging="425" w:firstLineChars="0"/>
        <w:rPr>
          <w:rFonts w:ascii="宋体" w:hAnsi="宋体"/>
          <w:b/>
          <w:bCs/>
          <w:color w:val="auto"/>
          <w:sz w:val="24"/>
        </w:rPr>
      </w:pPr>
      <w:r>
        <w:rPr>
          <w:rFonts w:hint="eastAsia" w:ascii="宋体" w:hAnsi="宋体"/>
          <w:b/>
          <w:bCs/>
          <w:color w:val="auto"/>
          <w:sz w:val="24"/>
        </w:rPr>
        <w:t>争议解决</w:t>
      </w:r>
    </w:p>
    <w:p>
      <w:pPr>
        <w:pStyle w:val="13"/>
        <w:tabs>
          <w:tab w:val="left" w:pos="0"/>
        </w:tabs>
        <w:spacing w:line="360" w:lineRule="auto"/>
        <w:ind w:firstLine="480" w:firstLineChars="200"/>
        <w:rPr>
          <w:rFonts w:ascii="宋体" w:hAnsi="宋体"/>
          <w:color w:val="auto"/>
          <w:sz w:val="24"/>
        </w:rPr>
      </w:pPr>
      <w:r>
        <w:rPr>
          <w:rFonts w:hint="eastAsia" w:ascii="宋体" w:hAnsi="宋体"/>
          <w:color w:val="auto"/>
          <w:sz w:val="24"/>
        </w:rPr>
        <w:t>因履行本合同发生的争议，由当事人协商解决。协商不成的，依法向甲方所在地人民法院起诉。</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lang w:val="en-US" w:eastAsia="zh-CN"/>
        </w:rPr>
        <w:t xml:space="preserve">第十二条  </w:t>
      </w:r>
      <w:r>
        <w:rPr>
          <w:rFonts w:ascii="宋体" w:hAnsi="宋体"/>
          <w:b/>
          <w:color w:val="auto"/>
          <w:sz w:val="24"/>
        </w:rPr>
        <w:t>合同</w:t>
      </w:r>
      <w:r>
        <w:rPr>
          <w:rFonts w:hint="eastAsia" w:ascii="宋体" w:hAnsi="宋体"/>
          <w:b/>
          <w:color w:val="auto"/>
          <w:sz w:val="24"/>
        </w:rPr>
        <w:t>生效及其他</w:t>
      </w:r>
    </w:p>
    <w:p>
      <w:pPr>
        <w:pStyle w:val="14"/>
        <w:spacing w:line="360" w:lineRule="auto"/>
        <w:ind w:firstLine="480"/>
        <w:rPr>
          <w:rFonts w:ascii="宋体" w:hAnsi="宋体"/>
          <w:color w:val="auto"/>
          <w:sz w:val="24"/>
        </w:rPr>
      </w:pPr>
      <w:r>
        <w:rPr>
          <w:rFonts w:hint="eastAsia" w:ascii="宋体" w:hAnsi="宋体"/>
          <w:color w:val="auto"/>
          <w:sz w:val="24"/>
        </w:rPr>
        <w:t>1、合同经双方法定代表人或授权委托代理人签字并加盖单位公章后生效。</w:t>
      </w:r>
    </w:p>
    <w:p>
      <w:pPr>
        <w:pStyle w:val="14"/>
        <w:spacing w:line="360" w:lineRule="auto"/>
        <w:ind w:firstLine="480"/>
        <w:rPr>
          <w:rFonts w:ascii="宋体" w:hAnsi="宋体"/>
          <w:color w:val="auto"/>
          <w:sz w:val="24"/>
        </w:rPr>
      </w:pPr>
      <w:r>
        <w:rPr>
          <w:rFonts w:hint="eastAsia" w:ascii="宋体" w:hAnsi="宋体"/>
          <w:color w:val="auto"/>
          <w:sz w:val="24"/>
        </w:rPr>
        <w:t>2、合同执行中涉及采购资金和采购内容修改或补充的，须签订书面补充协议，方可作为主合同不可分割的一部分。</w:t>
      </w:r>
    </w:p>
    <w:p>
      <w:pPr>
        <w:pStyle w:val="14"/>
        <w:spacing w:line="360" w:lineRule="auto"/>
        <w:ind w:firstLine="480"/>
        <w:rPr>
          <w:rFonts w:ascii="宋体" w:hAnsi="宋体"/>
          <w:color w:val="auto"/>
          <w:sz w:val="24"/>
        </w:rPr>
      </w:pPr>
      <w:r>
        <w:rPr>
          <w:rFonts w:hint="eastAsia" w:ascii="宋体" w:hAnsi="宋体"/>
          <w:color w:val="auto"/>
          <w:sz w:val="24"/>
        </w:rPr>
        <w:t>3、本合同一式4份，自双方签章之日起</w:t>
      </w:r>
      <w:r>
        <w:rPr>
          <w:rFonts w:hint="eastAsia" w:ascii="宋体" w:hAnsi="宋体"/>
          <w:color w:val="auto"/>
          <w:sz w:val="24"/>
          <w:lang w:val="en-US" w:eastAsia="zh-CN"/>
        </w:rPr>
        <w:t>生</w:t>
      </w:r>
      <w:r>
        <w:rPr>
          <w:rFonts w:hint="eastAsia" w:ascii="宋体" w:hAnsi="宋体"/>
          <w:color w:val="auto"/>
          <w:sz w:val="24"/>
        </w:rPr>
        <w:t>效。甲方2份，乙方2份，具有同等法律效力。</w:t>
      </w:r>
    </w:p>
    <w:p>
      <w:pPr>
        <w:pStyle w:val="13"/>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ascii="宋体" w:hAnsi="宋体"/>
          <w:b/>
          <w:color w:val="auto"/>
          <w:sz w:val="24"/>
        </w:rPr>
      </w:pPr>
      <w:r>
        <w:rPr>
          <w:rFonts w:hint="eastAsia" w:ascii="宋体" w:hAnsi="宋体"/>
          <w:b/>
          <w:color w:val="auto"/>
          <w:sz w:val="24"/>
          <w:lang w:val="en-US" w:eastAsia="zh-CN"/>
        </w:rPr>
        <w:t xml:space="preserve">第十三条  </w:t>
      </w:r>
      <w:r>
        <w:rPr>
          <w:rFonts w:hint="eastAsia" w:ascii="宋体" w:hAnsi="宋体"/>
          <w:b/>
          <w:color w:val="auto"/>
          <w:sz w:val="24"/>
        </w:rPr>
        <w:t>附件</w:t>
      </w:r>
    </w:p>
    <w:p>
      <w:pPr>
        <w:pStyle w:val="14"/>
        <w:spacing w:line="360" w:lineRule="auto"/>
        <w:ind w:firstLine="480"/>
        <w:rPr>
          <w:rFonts w:ascii="宋体" w:hAnsi="宋体"/>
          <w:color w:val="auto"/>
          <w:sz w:val="24"/>
        </w:rPr>
      </w:pPr>
      <w:r>
        <w:rPr>
          <w:rFonts w:hint="eastAsia" w:ascii="宋体" w:hAnsi="宋体"/>
          <w:color w:val="auto"/>
          <w:sz w:val="24"/>
        </w:rPr>
        <w:t>1、项目采购文件</w:t>
      </w:r>
    </w:p>
    <w:p>
      <w:pPr>
        <w:pStyle w:val="14"/>
        <w:spacing w:line="360" w:lineRule="auto"/>
        <w:ind w:firstLine="480"/>
        <w:rPr>
          <w:rFonts w:ascii="宋体" w:hAnsi="宋体"/>
          <w:color w:val="auto"/>
          <w:sz w:val="24"/>
        </w:rPr>
      </w:pPr>
      <w:r>
        <w:rPr>
          <w:rFonts w:hint="eastAsia" w:ascii="宋体" w:hAnsi="宋体"/>
          <w:color w:val="auto"/>
          <w:sz w:val="24"/>
        </w:rPr>
        <w:t>2、项目响应文件</w:t>
      </w:r>
    </w:p>
    <w:p>
      <w:pPr>
        <w:pStyle w:val="14"/>
        <w:spacing w:line="360" w:lineRule="auto"/>
        <w:ind w:firstLine="480"/>
        <w:rPr>
          <w:rFonts w:ascii="宋体" w:hAnsi="宋体"/>
          <w:color w:val="auto"/>
          <w:sz w:val="24"/>
        </w:rPr>
      </w:pPr>
      <w:r>
        <w:rPr>
          <w:rFonts w:hint="eastAsia" w:ascii="宋体" w:hAnsi="宋体"/>
          <w:color w:val="auto"/>
          <w:sz w:val="24"/>
        </w:rPr>
        <w:t>3、中选通知书</w:t>
      </w:r>
    </w:p>
    <w:p>
      <w:pPr>
        <w:pStyle w:val="14"/>
        <w:spacing w:line="360" w:lineRule="auto"/>
        <w:ind w:firstLine="480"/>
        <w:rPr>
          <w:rFonts w:ascii="宋体" w:hAnsi="宋体"/>
          <w:color w:val="auto"/>
          <w:sz w:val="24"/>
        </w:rPr>
      </w:pPr>
      <w:r>
        <w:rPr>
          <w:rFonts w:hint="eastAsia" w:ascii="宋体" w:hAnsi="宋体"/>
          <w:color w:val="auto"/>
          <w:sz w:val="24"/>
        </w:rPr>
        <w:t>4、其他</w:t>
      </w:r>
    </w:p>
    <w:p>
      <w:pPr>
        <w:pStyle w:val="13"/>
        <w:spacing w:line="360" w:lineRule="auto"/>
        <w:ind w:firstLine="480" w:firstLineChars="200"/>
        <w:rPr>
          <w:rFonts w:ascii="宋体" w:hAnsi="宋体"/>
          <w:color w:val="auto"/>
          <w:sz w:val="24"/>
        </w:rPr>
      </w:pPr>
    </w:p>
    <w:p>
      <w:pPr>
        <w:pStyle w:val="13"/>
        <w:spacing w:line="360" w:lineRule="auto"/>
        <w:ind w:firstLine="480" w:firstLineChars="200"/>
        <w:rPr>
          <w:rFonts w:ascii="宋体" w:hAnsi="宋体"/>
          <w:color w:val="auto"/>
          <w:sz w:val="24"/>
        </w:rPr>
      </w:pPr>
    </w:p>
    <w:p>
      <w:pPr>
        <w:pStyle w:val="13"/>
        <w:spacing w:line="360" w:lineRule="auto"/>
        <w:ind w:firstLine="480" w:firstLineChars="200"/>
        <w:rPr>
          <w:rFonts w:ascii="宋体" w:hAnsi="宋体"/>
          <w:color w:val="auto"/>
          <w:sz w:val="24"/>
        </w:rPr>
      </w:pPr>
    </w:p>
    <w:p>
      <w:pPr>
        <w:pStyle w:val="13"/>
        <w:spacing w:line="360" w:lineRule="auto"/>
        <w:ind w:firstLine="480" w:firstLineChars="200"/>
        <w:rPr>
          <w:rFonts w:ascii="宋体" w:hAnsi="宋体"/>
          <w:color w:val="auto"/>
          <w:sz w:val="24"/>
        </w:rPr>
      </w:pPr>
    </w:p>
    <w:p>
      <w:pPr>
        <w:pStyle w:val="13"/>
        <w:spacing w:line="360" w:lineRule="auto"/>
        <w:ind w:firstLine="480" w:firstLineChars="200"/>
        <w:rPr>
          <w:rFonts w:ascii="宋体" w:hAnsi="宋体"/>
          <w:color w:val="auto"/>
          <w:sz w:val="24"/>
        </w:rPr>
      </w:pPr>
    </w:p>
    <w:p>
      <w:pPr>
        <w:pStyle w:val="13"/>
        <w:spacing w:line="360" w:lineRule="auto"/>
        <w:ind w:firstLine="480" w:firstLineChars="200"/>
        <w:rPr>
          <w:rFonts w:ascii="宋体" w:hAnsi="宋体"/>
          <w:color w:val="auto"/>
          <w:sz w:val="24"/>
        </w:rPr>
      </w:pPr>
      <w:r>
        <w:rPr>
          <w:rFonts w:hint="eastAsia" w:ascii="宋体" w:hAnsi="宋体"/>
          <w:color w:val="auto"/>
          <w:sz w:val="24"/>
        </w:rPr>
        <w:t>甲方：广安市不动产登记中心（盖章）</w:t>
      </w:r>
      <w:r>
        <w:rPr>
          <w:rFonts w:ascii="宋体" w:hAnsi="宋体"/>
          <w:color w:val="auto"/>
          <w:sz w:val="24"/>
        </w:rPr>
        <w:tab/>
      </w:r>
      <w:r>
        <w:rPr>
          <w:rFonts w:ascii="宋体" w:hAnsi="宋体"/>
          <w:color w:val="auto"/>
          <w:sz w:val="24"/>
        </w:rPr>
        <w:tab/>
      </w:r>
      <w:r>
        <w:rPr>
          <w:rFonts w:hint="eastAsia" w:ascii="宋体" w:hAnsi="宋体"/>
          <w:color w:val="auto"/>
          <w:sz w:val="24"/>
        </w:rPr>
        <w:t>乙方：</w:t>
      </w:r>
      <w:r>
        <w:rPr>
          <w:rFonts w:ascii="宋体" w:hAnsi="宋体"/>
          <w:color w:val="auto"/>
          <w:sz w:val="24"/>
        </w:rPr>
        <w:t xml:space="preserve">   </w:t>
      </w:r>
      <w:r>
        <w:rPr>
          <w:rFonts w:hint="eastAsia" w:ascii="宋体" w:hAnsi="宋体"/>
          <w:color w:val="auto"/>
          <w:sz w:val="24"/>
        </w:rPr>
        <w:t>（盖章）</w:t>
      </w:r>
    </w:p>
    <w:p>
      <w:pPr>
        <w:pStyle w:val="13"/>
        <w:spacing w:line="360" w:lineRule="auto"/>
        <w:ind w:firstLine="480" w:firstLineChars="200"/>
        <w:rPr>
          <w:rFonts w:ascii="宋体" w:hAnsi="宋体"/>
          <w:color w:val="auto"/>
          <w:sz w:val="24"/>
        </w:rPr>
      </w:pPr>
      <w:r>
        <w:rPr>
          <w:rFonts w:hint="eastAsia" w:ascii="宋体" w:hAnsi="宋体"/>
          <w:color w:val="auto"/>
          <w:sz w:val="24"/>
        </w:rPr>
        <w:t>法定代表人（授权代表）：</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法定代表人（授权代表）：</w:t>
      </w:r>
    </w:p>
    <w:p>
      <w:pPr>
        <w:pStyle w:val="13"/>
        <w:spacing w:line="360" w:lineRule="auto"/>
        <w:ind w:firstLine="480" w:firstLineChars="200"/>
        <w:rPr>
          <w:rFonts w:ascii="宋体" w:hAnsi="宋体"/>
          <w:color w:val="auto"/>
          <w:sz w:val="24"/>
        </w:rPr>
      </w:pP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地</w:t>
      </w:r>
      <w:r>
        <w:rPr>
          <w:rFonts w:ascii="宋体" w:hAnsi="宋体"/>
          <w:color w:val="auto"/>
          <w:sz w:val="24"/>
        </w:rPr>
        <w:t xml:space="preserve">    </w:t>
      </w:r>
      <w:r>
        <w:rPr>
          <w:rFonts w:hint="eastAsia" w:ascii="宋体" w:hAnsi="宋体"/>
          <w:color w:val="auto"/>
          <w:sz w:val="24"/>
        </w:rPr>
        <w:t>址：</w:t>
      </w:r>
    </w:p>
    <w:p>
      <w:pPr>
        <w:pStyle w:val="13"/>
        <w:spacing w:line="360" w:lineRule="auto"/>
        <w:ind w:firstLine="480" w:firstLineChars="200"/>
        <w:rPr>
          <w:rFonts w:ascii="宋体" w:hAnsi="宋体"/>
          <w:color w:val="auto"/>
          <w:sz w:val="24"/>
        </w:rPr>
      </w:pPr>
      <w:r>
        <w:rPr>
          <w:rFonts w:hint="eastAsia" w:ascii="宋体" w:hAnsi="宋体"/>
          <w:color w:val="auto"/>
          <w:sz w:val="24"/>
        </w:rPr>
        <w:t>开户银行：</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开户银行：</w:t>
      </w:r>
    </w:p>
    <w:p>
      <w:pPr>
        <w:pStyle w:val="13"/>
        <w:spacing w:line="360" w:lineRule="auto"/>
        <w:ind w:firstLine="480" w:firstLineChars="200"/>
        <w:rPr>
          <w:rFonts w:ascii="宋体" w:hAnsi="宋体"/>
          <w:color w:val="auto"/>
          <w:sz w:val="24"/>
        </w:rPr>
      </w:pPr>
      <w:r>
        <w:rPr>
          <w:rFonts w:hint="eastAsia" w:ascii="宋体" w:hAnsi="宋体"/>
          <w:color w:val="auto"/>
          <w:sz w:val="24"/>
        </w:rPr>
        <w:t>账号：</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账号：</w:t>
      </w:r>
    </w:p>
    <w:p>
      <w:pPr>
        <w:pStyle w:val="13"/>
        <w:spacing w:line="360" w:lineRule="auto"/>
        <w:ind w:firstLine="480" w:firstLineChars="200"/>
        <w:rPr>
          <w:rFonts w:ascii="宋体" w:hAnsi="宋体"/>
          <w:color w:val="auto"/>
          <w:sz w:val="24"/>
        </w:rPr>
      </w:pPr>
      <w:r>
        <w:rPr>
          <w:rFonts w:hint="eastAsia" w:ascii="宋体" w:hAnsi="宋体"/>
          <w:color w:val="auto"/>
          <w:sz w:val="24"/>
        </w:rPr>
        <w:t>电</w:t>
      </w:r>
      <w:r>
        <w:rPr>
          <w:rFonts w:ascii="宋体" w:hAnsi="宋体"/>
          <w:color w:val="auto"/>
          <w:sz w:val="24"/>
        </w:rPr>
        <w:t xml:space="preserve">    </w:t>
      </w:r>
      <w:r>
        <w:rPr>
          <w:rFonts w:hint="eastAsia" w:ascii="宋体" w:hAnsi="宋体"/>
          <w:color w:val="auto"/>
          <w:sz w:val="24"/>
        </w:rPr>
        <w:t>话：</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电</w:t>
      </w:r>
      <w:r>
        <w:rPr>
          <w:rFonts w:ascii="宋体" w:hAnsi="宋体"/>
          <w:color w:val="auto"/>
          <w:sz w:val="24"/>
        </w:rPr>
        <w:t xml:space="preserve">    </w:t>
      </w:r>
      <w:r>
        <w:rPr>
          <w:rFonts w:hint="eastAsia" w:ascii="宋体" w:hAnsi="宋体"/>
          <w:color w:val="auto"/>
          <w:sz w:val="24"/>
        </w:rPr>
        <w:t>话：</w:t>
      </w:r>
    </w:p>
    <w:p>
      <w:pPr>
        <w:pStyle w:val="13"/>
        <w:spacing w:line="360" w:lineRule="auto"/>
        <w:ind w:firstLine="480" w:firstLineChars="200"/>
        <w:rPr>
          <w:rFonts w:ascii="宋体" w:hAnsi="宋体"/>
          <w:color w:val="auto"/>
          <w:sz w:val="24"/>
        </w:rPr>
      </w:pPr>
      <w:r>
        <w:rPr>
          <w:rFonts w:hint="eastAsia" w:ascii="宋体" w:hAnsi="宋体"/>
          <w:color w:val="auto"/>
          <w:sz w:val="24"/>
        </w:rPr>
        <w:t>传</w:t>
      </w:r>
      <w:r>
        <w:rPr>
          <w:rFonts w:ascii="宋体" w:hAnsi="宋体"/>
          <w:color w:val="auto"/>
          <w:sz w:val="24"/>
        </w:rPr>
        <w:t xml:space="preserve">    </w:t>
      </w:r>
      <w:r>
        <w:rPr>
          <w:rFonts w:hint="eastAsia" w:ascii="宋体" w:hAnsi="宋体"/>
          <w:color w:val="auto"/>
          <w:sz w:val="24"/>
        </w:rPr>
        <w:t>真：</w:t>
      </w:r>
      <w:r>
        <w:rPr>
          <w:rFonts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传</w:t>
      </w:r>
      <w:r>
        <w:rPr>
          <w:rFonts w:ascii="宋体" w:hAnsi="宋体"/>
          <w:color w:val="auto"/>
          <w:sz w:val="24"/>
        </w:rPr>
        <w:t xml:space="preserve">    </w:t>
      </w:r>
      <w:r>
        <w:rPr>
          <w:rFonts w:hint="eastAsia" w:ascii="宋体" w:hAnsi="宋体"/>
          <w:color w:val="auto"/>
          <w:sz w:val="24"/>
        </w:rPr>
        <w:t>真：</w:t>
      </w:r>
    </w:p>
    <w:p>
      <w:pPr>
        <w:pStyle w:val="13"/>
        <w:spacing w:line="360" w:lineRule="auto"/>
        <w:ind w:firstLine="480" w:firstLineChars="200"/>
        <w:rPr>
          <w:rFonts w:hint="default" w:ascii="黑体" w:hAnsi="黑体" w:eastAsia="黑体" w:cs="黑体"/>
          <w:sz w:val="32"/>
          <w:szCs w:val="32"/>
          <w:lang w:val="en-US" w:eastAsia="zh-CN"/>
        </w:rPr>
      </w:pPr>
      <w:r>
        <w:rPr>
          <w:rFonts w:hint="eastAsia" w:ascii="宋体" w:hAnsi="宋体"/>
          <w:color w:val="auto"/>
          <w:sz w:val="24"/>
        </w:rPr>
        <w:t>签约日期：  年  月  日</w:t>
      </w:r>
      <w:r>
        <w:rPr>
          <w:rFonts w:ascii="宋体" w:hAnsi="宋体"/>
          <w:color w:val="auto"/>
          <w:sz w:val="24"/>
        </w:rPr>
        <w:t xml:space="preserve"> </w:t>
      </w:r>
      <w:r>
        <w:rPr>
          <w:rFonts w:ascii="宋体" w:hAnsi="宋体"/>
          <w:color w:val="auto"/>
          <w:sz w:val="24"/>
        </w:rPr>
        <w:tab/>
      </w:r>
      <w:r>
        <w:rPr>
          <w:rFonts w:ascii="宋体" w:hAnsi="宋体"/>
          <w:color w:val="auto"/>
          <w:sz w:val="24"/>
        </w:rPr>
        <w:tab/>
      </w:r>
      <w:r>
        <w:rPr>
          <w:rFonts w:ascii="宋体" w:hAnsi="宋体"/>
          <w:color w:val="auto"/>
          <w:sz w:val="24"/>
        </w:rPr>
        <w:tab/>
      </w:r>
      <w:r>
        <w:rPr>
          <w:rFonts w:hint="eastAsia" w:ascii="宋体" w:hAnsi="宋体"/>
          <w:color w:val="auto"/>
          <w:sz w:val="24"/>
          <w:lang w:val="en-US" w:eastAsia="zh-CN"/>
        </w:rPr>
        <w:t xml:space="preserve">       </w:t>
      </w:r>
      <w:r>
        <w:rPr>
          <w:rFonts w:hint="eastAsia" w:ascii="宋体" w:hAnsi="宋体"/>
          <w:color w:val="auto"/>
          <w:sz w:val="24"/>
        </w:rPr>
        <w:t>签约日期：  年  月  日</w:t>
      </w:r>
    </w:p>
    <w:sectPr>
      <w:pgSz w:w="11906" w:h="16838"/>
      <w:pgMar w:top="1440" w:right="1196" w:bottom="1440" w:left="147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modern"/>
    <w:pitch w:val="default"/>
    <w:sig w:usb0="A00002EF" w:usb1="4000004B" w:usb2="00000000" w:usb3="00000000" w:csb0="2000009F" w:csb1="00000000"/>
  </w:font>
  <w:font w:name="BIAODIAN">
    <w:altName w:val="Times New Roman"/>
    <w:panose1 w:val="00000000000000000000"/>
    <w:charset w:val="00"/>
    <w:family w:val="modern"/>
    <w:pitch w:val="default"/>
    <w:sig w:usb0="00000000" w:usb1="00000000" w:usb2="00000000" w:usb3="00000000" w:csb0="00000001" w:csb1="00000000"/>
  </w:font>
  <w:font w:name="彩虹黑体">
    <w:altName w:val="黑体"/>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8335" cy="196850"/>
              <wp:effectExtent l="0" t="0" r="0" b="0"/>
              <wp:wrapNone/>
              <wp:docPr id="1273807854" name="文本框 1028"/>
              <wp:cNvGraphicFramePr/>
              <a:graphic xmlns:a="http://schemas.openxmlformats.org/drawingml/2006/main">
                <a:graphicData uri="http://schemas.microsoft.com/office/word/2010/wordprocessingShape">
                  <wps:wsp>
                    <wps:cNvSpPr txBox="1">
                      <a:spLocks noChangeArrowheads="1"/>
                    </wps:cNvSpPr>
                    <wps:spPr bwMode="auto">
                      <a:xfrm>
                        <a:off x="0" y="0"/>
                        <a:ext cx="648335" cy="196850"/>
                      </a:xfrm>
                      <a:prstGeom prst="rect">
                        <a:avLst/>
                      </a:prstGeom>
                      <a:noFill/>
                      <a:ln>
                        <a:noFill/>
                      </a:ln>
                    </wps:spPr>
                    <wps:txbx>
                      <w:txbxContent>
                        <w:p>
                          <w:pPr>
                            <w:snapToGrid w:val="0"/>
                            <w:ind w:left="480" w:firstLine="360"/>
                            <w:rPr>
                              <w:sz w:val="18"/>
                            </w:rPr>
                          </w:pPr>
                          <w:r>
                            <w:rPr>
                              <w:rFonts w:hint="eastAsia"/>
                              <w:sz w:val="18"/>
                            </w:rPr>
                            <w:fldChar w:fldCharType="begin"/>
                          </w:r>
                          <w:r>
                            <w:rPr>
                              <w:rFonts w:hint="eastAsia"/>
                              <w:sz w:val="18"/>
                              <w:highlight w:val="white"/>
                            </w:rPr>
                            <w:instrText xml:space="preserve"> PAGE  \* MERGEFORMAT </w:instrText>
                          </w:r>
                          <w:r>
                            <w:rPr>
                              <w:rFonts w:hint="eastAsia"/>
                              <w:sz w:val="18"/>
                            </w:rPr>
                            <w:fldChar w:fldCharType="separate"/>
                          </w:r>
                          <w:r>
                            <w:rPr>
                              <w:sz w:val="18"/>
                              <w:highlight w:val="white"/>
                              <w:lang w:val="zh-CN"/>
                            </w:rPr>
                            <w:t>17</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28" o:spid="_x0000_s1026" o:spt="202" type="#_x0000_t202" style="position:absolute;left:0pt;margin-top:0pt;height:15.5pt;width:51.05pt;mso-position-horizontal:center;mso-position-horizontal-relative:margin;mso-wrap-style:none;z-index:251660288;mso-width-relative:page;mso-height-relative:page;" filled="f" stroked="f" coordsize="21600,21600" o:gfxdata="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eoOhPRAAAABAEAAA8AAAAAAAAAAQAg&#10;AAAAIgAAAGRycy9kb3ducmV2LnhtbFBLAQIUABQAAAAIAIdO4kB/54riFQIAAA4EAAAOAAAAAAAA&#10;AAEAIAAAACABAABkcnMvZTJvRG9jLnhtbFBLBQYAAAAABgAGAFkBAACnBQAAAAA=&#10;">
              <v:fill on="f" focussize="0,0"/>
              <v:stroke on="f"/>
              <v:imagedata o:title=""/>
              <o:lock v:ext="edit" aspectratio="f"/>
              <v:textbox inset="0mm,0mm,0mm,0mm" style="mso-fit-shape-to-text:t;">
                <w:txbxContent>
                  <w:p>
                    <w:pPr>
                      <w:snapToGrid w:val="0"/>
                      <w:ind w:left="480" w:firstLine="360"/>
                      <w:rPr>
                        <w:sz w:val="18"/>
                      </w:rPr>
                    </w:pPr>
                    <w:r>
                      <w:rPr>
                        <w:rFonts w:hint="eastAsia"/>
                        <w:sz w:val="18"/>
                      </w:rPr>
                      <w:fldChar w:fldCharType="begin"/>
                    </w:r>
                    <w:r>
                      <w:rPr>
                        <w:rFonts w:hint="eastAsia"/>
                        <w:sz w:val="18"/>
                        <w:highlight w:val="white"/>
                      </w:rPr>
                      <w:instrText xml:space="preserve"> PAGE  \* MERGEFORMAT </w:instrText>
                    </w:r>
                    <w:r>
                      <w:rPr>
                        <w:rFonts w:hint="eastAsia"/>
                        <w:sz w:val="18"/>
                      </w:rPr>
                      <w:fldChar w:fldCharType="separate"/>
                    </w:r>
                    <w:r>
                      <w:rPr>
                        <w:sz w:val="18"/>
                        <w:highlight w:val="white"/>
                        <w:lang w:val="zh-CN"/>
                      </w:rPr>
                      <w:t>17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r>
      <mc:AlternateContent>
        <mc:Choice Requires="wps">
          <w:drawing>
            <wp:anchor distT="45720" distB="45720" distL="114300" distR="114300" simplePos="0" relativeHeight="251660288" behindDoc="0" locked="0" layoutInCell="1" allowOverlap="1">
              <wp:simplePos x="0" y="0"/>
              <wp:positionH relativeFrom="column">
                <wp:posOffset>2849880</wp:posOffset>
              </wp:positionH>
              <wp:positionV relativeFrom="paragraph">
                <wp:posOffset>-140970</wp:posOffset>
              </wp:positionV>
              <wp:extent cx="3314065" cy="342900"/>
              <wp:effectExtent l="0" t="0" r="635" b="0"/>
              <wp:wrapSquare wrapText="bothSides"/>
              <wp:docPr id="2021856719" name="文本框 2049"/>
              <wp:cNvGraphicFramePr/>
              <a:graphic xmlns:a="http://schemas.openxmlformats.org/drawingml/2006/main">
                <a:graphicData uri="http://schemas.microsoft.com/office/word/2010/wordprocessingShape">
                  <wps:wsp>
                    <wps:cNvSpPr txBox="1">
                      <a:spLocks noChangeArrowheads="1"/>
                    </wps:cNvSpPr>
                    <wps:spPr bwMode="auto">
                      <a:xfrm>
                        <a:off x="0" y="0"/>
                        <a:ext cx="3314065" cy="342900"/>
                      </a:xfrm>
                      <a:prstGeom prst="rect">
                        <a:avLst/>
                      </a:prstGeom>
                      <a:solidFill>
                        <a:srgbClr val="FFFFFF"/>
                      </a:solidFill>
                      <a:ln>
                        <a:noFill/>
                      </a:ln>
                    </wps:spPr>
                    <wps:txbx>
                      <w:txbxContent>
                        <w:p>
                          <w:pPr>
                            <w:jc w:val="distribute"/>
                            <w:rPr>
                              <w:rFonts w:ascii="华文细黑" w:hAnsi="华文细黑" w:eastAsia="华文细黑"/>
                            </w:rPr>
                          </w:pPr>
                        </w:p>
                      </w:txbxContent>
                    </wps:txbx>
                    <wps:bodyPr rot="0" vert="horz" wrap="square" lIns="0" tIns="45720" rIns="91440" bIns="45720" anchor="b" anchorCtr="0" upright="1">
                      <a:noAutofit/>
                    </wps:bodyPr>
                  </wps:wsp>
                </a:graphicData>
              </a:graphic>
            </wp:anchor>
          </w:drawing>
        </mc:Choice>
        <mc:Fallback>
          <w:pict>
            <v:shape id="文本框 2049" o:spid="_x0000_s1026" o:spt="202" type="#_x0000_t202" style="position:absolute;left:0pt;margin-left:224.4pt;margin-top:-11.1pt;height:27pt;width:260.95pt;mso-wrap-distance-bottom:3.6pt;mso-wrap-distance-left:9pt;mso-wrap-distance-right:9pt;mso-wrap-distance-top:3.6pt;z-index:251660288;v-text-anchor:bottom;mso-width-relative:page;mso-height-relative:page;" fillcolor="#FFFFFF" filled="t" stroked="f" coordsize="21600,21600" o:gfxdata="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uhkFfcAAAACgEAAA8AAAAAAAAAAQAgAAAAIgAAAGRycy9k&#10;b3ducmV2LnhtbFBLAQIUABQAAAAIAIdO4kCgGNMANwIAAEYEAAAOAAAAAAAAAAEAIAAAACsBAABk&#10;cnMvZTJvRG9jLnhtbFBLBQYAAAAABgAGAFkBAADUBQAAAAA=&#10;">
              <v:fill on="t" focussize="0,0"/>
              <v:stroke on="f"/>
              <v:imagedata o:title=""/>
              <o:lock v:ext="edit" aspectratio="f"/>
              <v:textbox inset="0mm,1.27mm,2.54mm,1.27mm">
                <w:txbxContent>
                  <w:p>
                    <w:pPr>
                      <w:jc w:val="distribute"/>
                      <w:rPr>
                        <w:rFonts w:ascii="华文细黑" w:hAnsi="华文细黑" w:eastAsia="华文细黑"/>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2878455</wp:posOffset>
              </wp:positionH>
              <wp:positionV relativeFrom="paragraph">
                <wp:posOffset>57785</wp:posOffset>
              </wp:positionV>
              <wp:extent cx="3552190" cy="314325"/>
              <wp:effectExtent l="0" t="0" r="10160" b="9525"/>
              <wp:wrapSquare wrapText="bothSides"/>
              <wp:docPr id="22659443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552190" cy="314325"/>
                      </a:xfrm>
                      <a:prstGeom prst="rect">
                        <a:avLst/>
                      </a:prstGeom>
                      <a:solidFill>
                        <a:srgbClr val="FFFFFF"/>
                      </a:solidFill>
                      <a:ln>
                        <a:noFill/>
                      </a:ln>
                    </wps:spPr>
                    <wps:txbx>
                      <w:txbxContent>
                        <w:p>
                          <w:pPr>
                            <w:rPr>
                              <w:rFonts w:ascii="华文细黑" w:hAnsi="华文细黑" w:eastAsia="华文细黑"/>
                              <w:sz w:val="18"/>
                              <w:szCs w:val="18"/>
                            </w:rPr>
                          </w:pPr>
                        </w:p>
                      </w:txbxContent>
                    </wps:txbx>
                    <wps:bodyPr rot="0" vert="horz" wrap="square" lIns="0" tIns="0" rIns="91440" bIns="45720" anchor="t" anchorCtr="0" upright="1">
                      <a:noAutofit/>
                    </wps:bodyPr>
                  </wps:wsp>
                </a:graphicData>
              </a:graphic>
            </wp:anchor>
          </w:drawing>
        </mc:Choice>
        <mc:Fallback>
          <w:pict>
            <v:shape id="文本框 2" o:spid="_x0000_s1026" o:spt="202" type="#_x0000_t202" style="position:absolute;left:0pt;margin-left:226.65pt;margin-top:4.55pt;height:24.75pt;width:279.7pt;mso-wrap-distance-bottom:3.6pt;mso-wrap-distance-left:9pt;mso-wrap-distance-right:9pt;mso-wrap-distance-top:3.6pt;z-index:251659264;mso-width-relative:page;mso-height-relative:page;" fillcolor="#FFFFFF" filled="t" stroked="f" coordsize="21600,21600" o:gfxdata="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jHT/HaAAAACQEAAA8AAAAAAAAAAQAgAAAAIgAAAGRycy9kb3ducmV2Lnht&#10;bFBLAQIUABQAAAAIAIdO4kAd3vVxMAIAAD4EAAAOAAAAAAAAAAEAIAAAACkBAABkcnMvZTJvRG9j&#10;LnhtbFBLBQYAAAAABgAGAFkBAADLBQAAAAA=&#10;">
              <v:fill on="t" focussize="0,0"/>
              <v:stroke on="f"/>
              <v:imagedata o:title=""/>
              <o:lock v:ext="edit" aspectratio="f"/>
              <v:textbox inset="0mm,0mm,2.54mm,1.27mm">
                <w:txbxContent>
                  <w:p>
                    <w:pPr>
                      <w:rPr>
                        <w:rFonts w:ascii="华文细黑" w:hAnsi="华文细黑" w:eastAsia="华文细黑"/>
                        <w:sz w:val="18"/>
                        <w:szCs w:val="18"/>
                      </w:rPr>
                    </w:pPr>
                  </w:p>
                </w:txbxContent>
              </v:textbox>
              <w10:wrap type="square"/>
            </v:shape>
          </w:pict>
        </mc:Fallback>
      </mc:AlternateConten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80FA9"/>
    <w:multiLevelType w:val="multilevel"/>
    <w:tmpl w:val="98E80FA9"/>
    <w:lvl w:ilvl="0" w:tentative="0">
      <w:start w:val="1"/>
      <w:numFmt w:val="chineseCounting"/>
      <w:suff w:val="nothing"/>
      <w:lvlText w:val="%1、"/>
      <w:lvlJc w:val="left"/>
      <w:pPr>
        <w:ind w:left="0" w:firstLine="400"/>
      </w:pPr>
      <w:rPr>
        <w:rFonts w:hint="eastAsia" w:ascii="宋体" w:hAnsi="宋体" w:eastAsia="宋体" w:cs="宋体"/>
      </w:rPr>
    </w:lvl>
    <w:lvl w:ilvl="1" w:tentative="0">
      <w:start w:val="1"/>
      <w:numFmt w:val="decimal"/>
      <w:pStyle w:val="4"/>
      <w:suff w:val="nothing"/>
      <w:lvlText w:val="%2、"/>
      <w:lvlJc w:val="left"/>
      <w:pPr>
        <w:tabs>
          <w:tab w:val="left" w:pos="0"/>
        </w:tabs>
        <w:ind w:left="0" w:firstLine="400"/>
      </w:pPr>
      <w:rPr>
        <w:rFonts w:hint="eastAsia" w:ascii="宋体" w:hAnsi="宋体" w:eastAsia="宋体" w:cs="宋体"/>
      </w:rPr>
    </w:lvl>
    <w:lvl w:ilvl="2" w:tentative="0">
      <w:start w:val="1"/>
      <w:numFmt w:val="decimal"/>
      <w:suff w:val="nothing"/>
      <w:lvlText w:val="（%3）"/>
      <w:lvlJc w:val="left"/>
      <w:pPr>
        <w:ind w:left="0" w:firstLine="402"/>
      </w:pPr>
      <w:rPr>
        <w:rFonts w:hint="eastAsia" w:ascii="宋体" w:hAnsi="宋体" w:eastAsia="宋体" w:cs="宋体"/>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
    <w:nsid w:val="BB6FD162"/>
    <w:multiLevelType w:val="multilevel"/>
    <w:tmpl w:val="BB6FD162"/>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pStyle w:val="5"/>
      <w:suff w:val="nothing"/>
      <w:lvlText w:val="（%3）"/>
      <w:lvlJc w:val="left"/>
      <w:pPr>
        <w:tabs>
          <w:tab w:val="left" w:pos="0"/>
        </w:tabs>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D9A567E3"/>
    <w:multiLevelType w:val="singleLevel"/>
    <w:tmpl w:val="D9A567E3"/>
    <w:lvl w:ilvl="0" w:tentative="0">
      <w:start w:val="1"/>
      <w:numFmt w:val="none"/>
      <w:lvlText w:val="第十一条"/>
      <w:lvlJc w:val="left"/>
      <w:pPr>
        <w:tabs>
          <w:tab w:val="left" w:pos="840"/>
        </w:tabs>
        <w:ind w:left="845" w:leftChars="0" w:hanging="425" w:firstLineChars="0"/>
      </w:pPr>
      <w:rPr>
        <w:rFonts w:hint="default" w:ascii="宋体" w:hAnsi="宋体" w:eastAsia="宋体" w:cs="宋体"/>
      </w:rPr>
    </w:lvl>
  </w:abstractNum>
  <w:abstractNum w:abstractNumId="3">
    <w:nsid w:val="49D06213"/>
    <w:multiLevelType w:val="multilevel"/>
    <w:tmpl w:val="49D06213"/>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657296BA"/>
    <w:multiLevelType w:val="singleLevel"/>
    <w:tmpl w:val="657296BA"/>
    <w:lvl w:ilvl="0" w:tentative="0">
      <w:start w:val="1"/>
      <w:numFmt w:val="chineseCounting"/>
      <w:suff w:val="nothing"/>
      <w:lvlText w:val="（%1）"/>
      <w:lvlJc w:val="left"/>
      <w:pPr>
        <w:ind w:left="0" w:firstLine="420"/>
      </w:pPr>
      <w:rPr>
        <w:rFonts w:hint="eastAsia"/>
      </w:rPr>
    </w:lvl>
  </w:abstractNum>
  <w:abstractNum w:abstractNumId="5">
    <w:nsid w:val="7B151704"/>
    <w:multiLevelType w:val="singleLevel"/>
    <w:tmpl w:val="7B151704"/>
    <w:lvl w:ilvl="0" w:tentative="0">
      <w:start w:val="1"/>
      <w:numFmt w:val="japaneseCounting"/>
      <w:lvlText w:val="第%1条"/>
      <w:lvlJc w:val="left"/>
      <w:pPr>
        <w:tabs>
          <w:tab w:val="left" w:pos="1521"/>
        </w:tabs>
        <w:ind w:left="1521" w:hanging="1095"/>
      </w:pPr>
      <w:rPr>
        <w:rFonts w:hint="eastAsia"/>
      </w:rPr>
    </w:lvl>
  </w:abstractNum>
  <w:abstractNum w:abstractNumId="6">
    <w:nsid w:val="7B151705"/>
    <w:multiLevelType w:val="multilevel"/>
    <w:tmpl w:val="7B151705"/>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3"/>
    <w:lvlOverride w:ilvl="0">
      <w:startOverride w:val="1"/>
    </w:lvlOverride>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NTdkMDg1Yjc0ODdlMjhhODE5NWJjN2VkN2UzZGQifQ=="/>
  </w:docVars>
  <w:rsids>
    <w:rsidRoot w:val="00000000"/>
    <w:rsid w:val="021E1686"/>
    <w:rsid w:val="096C2283"/>
    <w:rsid w:val="0C3C0C41"/>
    <w:rsid w:val="16F803F5"/>
    <w:rsid w:val="1AF14B43"/>
    <w:rsid w:val="1B9133C8"/>
    <w:rsid w:val="1DB61AF0"/>
    <w:rsid w:val="1EA60457"/>
    <w:rsid w:val="21FD583A"/>
    <w:rsid w:val="22072528"/>
    <w:rsid w:val="26E718E0"/>
    <w:rsid w:val="296C7081"/>
    <w:rsid w:val="2BBB0ECF"/>
    <w:rsid w:val="2C75736D"/>
    <w:rsid w:val="31673619"/>
    <w:rsid w:val="382539CF"/>
    <w:rsid w:val="42CB558A"/>
    <w:rsid w:val="46136349"/>
    <w:rsid w:val="46B94916"/>
    <w:rsid w:val="4E0F4391"/>
    <w:rsid w:val="4E3450DC"/>
    <w:rsid w:val="4EE02FF7"/>
    <w:rsid w:val="53EC6EBC"/>
    <w:rsid w:val="5B3845B5"/>
    <w:rsid w:val="60076417"/>
    <w:rsid w:val="65F74ED9"/>
    <w:rsid w:val="679572F1"/>
    <w:rsid w:val="6D3F614A"/>
    <w:rsid w:val="70550C5B"/>
    <w:rsid w:val="74CB0DAA"/>
    <w:rsid w:val="7885218A"/>
    <w:rsid w:val="79D00DAB"/>
    <w:rsid w:val="7B6F2B92"/>
    <w:rsid w:val="7C3528C4"/>
    <w:rsid w:val="7D264462"/>
    <w:rsid w:val="7D854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spacing w:beforeLines="50" w:afterLines="50"/>
      <w:outlineLvl w:val="0"/>
    </w:pPr>
    <w:rPr>
      <w:rFonts w:ascii="Calibri" w:hAnsi="Calibri"/>
      <w:b/>
      <w:bCs/>
      <w:kern w:val="44"/>
      <w:sz w:val="32"/>
      <w:szCs w:val="44"/>
    </w:rPr>
  </w:style>
  <w:style w:type="paragraph" w:styleId="4">
    <w:name w:val="heading 2"/>
    <w:basedOn w:val="1"/>
    <w:next w:val="1"/>
    <w:autoRedefine/>
    <w:unhideWhenUsed/>
    <w:qFormat/>
    <w:uiPriority w:val="0"/>
    <w:pPr>
      <w:numPr>
        <w:ilvl w:val="1"/>
        <w:numId w:val="2"/>
      </w:numPr>
      <w:tabs>
        <w:tab w:val="left" w:pos="720"/>
        <w:tab w:val="left" w:pos="1440"/>
      </w:tabs>
      <w:spacing w:beforeLines="50" w:afterLines="50"/>
      <w:ind w:firstLine="0"/>
      <w:jc w:val="left"/>
      <w:outlineLvl w:val="1"/>
    </w:pPr>
    <w:rPr>
      <w:rFonts w:ascii="Cambria" w:hAnsi="Cambria"/>
      <w:b/>
      <w:bCs/>
      <w:szCs w:val="32"/>
    </w:rPr>
  </w:style>
  <w:style w:type="paragraph" w:styleId="5">
    <w:name w:val="heading 3"/>
    <w:basedOn w:val="1"/>
    <w:next w:val="1"/>
    <w:autoRedefine/>
    <w:unhideWhenUsed/>
    <w:qFormat/>
    <w:uiPriority w:val="0"/>
    <w:pPr>
      <w:numPr>
        <w:ilvl w:val="2"/>
        <w:numId w:val="3"/>
      </w:numPr>
      <w:spacing w:before="260" w:after="260" w:line="413" w:lineRule="auto"/>
      <w:outlineLvl w:val="2"/>
    </w:p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6">
    <w:name w:val="Normal Indent"/>
    <w:basedOn w:val="1"/>
    <w:autoRedefine/>
    <w:qFormat/>
    <w:uiPriority w:val="0"/>
    <w:pPr>
      <w:widowControl w:val="0"/>
      <w:ind w:firstLine="420" w:firstLineChars="200"/>
    </w:pPr>
    <w:rPr>
      <w:sz w:val="21"/>
      <w:szCs w:val="24"/>
    </w:rPr>
  </w:style>
  <w:style w:type="paragraph" w:styleId="7">
    <w:name w:val="footer"/>
    <w:basedOn w:val="1"/>
    <w:qFormat/>
    <w:uiPriority w:val="0"/>
    <w:pPr>
      <w:framePr w:wrap="notBeside" w:vAnchor="text" w:hAnchor="margin" w:y="1"/>
      <w:tabs>
        <w:tab w:val="center" w:pos="4153"/>
        <w:tab w:val="right" w:pos="8306"/>
      </w:tabs>
      <w:overflowPunct w:val="0"/>
      <w:snapToGrid w:val="0"/>
      <w:spacing w:line="317" w:lineRule="auto"/>
      <w:jc w:val="center"/>
      <w:textAlignment w:val="bottom"/>
    </w:pPr>
    <w:rPr>
      <w:rFonts w:ascii="BIAODIAN" w:hAnsi="BIAODIAN" w:eastAsia="彩虹黑体"/>
      <w:kern w:val="0"/>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Body Text First Indent"/>
    <w:basedOn w:val="2"/>
    <w:autoRedefine/>
    <w:qFormat/>
    <w:uiPriority w:val="0"/>
    <w:pPr>
      <w:spacing w:line="312" w:lineRule="atLeast"/>
      <w:ind w:firstLine="420"/>
      <w:textAlignment w:val="baseline"/>
    </w:pPr>
    <w:rPr>
      <w:rFonts w:hint="eastAsia"/>
    </w:rPr>
  </w:style>
  <w:style w:type="character" w:styleId="12">
    <w:name w:val="page number"/>
    <w:autoRedefine/>
    <w:qFormat/>
    <w:uiPriority w:val="0"/>
    <w:rPr>
      <w:rFonts w:ascii="BIAODIAN" w:hAnsi="BIAODIAN" w:eastAsia="彩虹黑体"/>
      <w:spacing w:val="0"/>
      <w:w w:val="100"/>
      <w:position w:val="0"/>
      <w:sz w:val="18"/>
      <w:vertAlign w:val="baseline"/>
    </w:rPr>
  </w:style>
  <w:style w:type="paragraph" w:customStyle="1" w:styleId="13">
    <w:name w:val="正文_6"/>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
    <w:name w:val="列出段落1"/>
    <w:basedOn w:val="13"/>
    <w:autoRedefine/>
    <w:qFormat/>
    <w:uiPriority w:val="34"/>
    <w:pPr>
      <w:ind w:firstLine="420" w:firstLineChars="200"/>
    </w:pPr>
  </w:style>
  <w:style w:type="character" w:customStyle="1" w:styleId="15">
    <w:name w:val="font01"/>
    <w:basedOn w:val="11"/>
    <w:autoRedefine/>
    <w:qFormat/>
    <w:uiPriority w:val="0"/>
    <w:rPr>
      <w:rFonts w:hint="eastAsia" w:ascii="方正仿宋_GBK" w:hAnsi="方正仿宋_GBK" w:eastAsia="方正仿宋_GBK" w:cs="方正仿宋_GBK"/>
      <w:color w:val="000000"/>
      <w:sz w:val="24"/>
      <w:szCs w:val="24"/>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杜艳君</cp:lastModifiedBy>
  <dcterms:modified xsi:type="dcterms:W3CDTF">2024-04-15T08:42:14Z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DF545A5EFECB44BEA3545D9BC81D1458_12</vt:lpwstr>
  </property>
</Properties>
</file>