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95"/>
        <w:gridCol w:w="1001"/>
        <w:gridCol w:w="1376"/>
        <w:gridCol w:w="1612"/>
        <w:gridCol w:w="5169"/>
        <w:gridCol w:w="1506"/>
        <w:gridCol w:w="1334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90" w:hRule="atLeast"/>
        </w:trPr>
        <w:tc>
          <w:tcPr>
            <w:tcW w:w="1414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2021年部门预算整体支出绩效目标表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23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华蓥市市场监督管理局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restart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10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29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主要任务</w:t>
            </w:r>
          </w:p>
        </w:tc>
        <w:tc>
          <w:tcPr>
            <w:tcW w:w="5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任务内容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1334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财政拨款</w:t>
            </w:r>
          </w:p>
        </w:tc>
        <w:tc>
          <w:tcPr>
            <w:tcW w:w="134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任务1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保障全局工作运行</w:t>
            </w:r>
          </w:p>
        </w:tc>
        <w:tc>
          <w:tcPr>
            <w:tcW w:w="516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用于发放职工工资福利待遇、社保缴纳、住房公积金等,确保机关正常运行。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13,367,941.21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13,367,941.21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任务2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商标培育及非公党建工作经费、知识产权工作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协助经营户商标注册,并开展知识产权相关工作等,协助企业开展非公党建工作。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任务3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生产流通领域执法及特种设备安全监管、产品质量抽检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开展春雷行动、生产流通领域执法、特种设备安全监管、市场专项监管、质量安全监管等工作。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任务4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食品安全抽检、食品安全专项整治、放心舒心消费城市（消费者权益保护）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开展食品安全专项整治工作,结合上级交办及专项整治中发现的问题及时开展食品抽检工作,确保市民放心舒心消费。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719,360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719,360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任务5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农贸市场自产自销及计量器具监管支出、农贸市场快速检测机食品快速检测车运行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对全市农贸市场自产自销区域监管,并对农产品进行快速检测公示,保障全市人民放心采购。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任务6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商事制度营商环境改革、企业信用信息登记、双随机抽检专项工作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1.对全市的企业、个体工商户相关证照的变更、注销、新增等工作,并开展双随机监督检查机抽检工作。2.深化“放管服”改革,优化我市营商环境。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任务7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为新办企业提供免费刻章、邮递服务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优化营商环境、为本市新办企业免费刻章提供服务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任务8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市场监管计量器具强制检定专项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对全市的计量器具进行强制检定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任务9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实施品牌发展战略、提升质量强市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贯彻落实质量强国战略,提升质量强市建设,促进经济社会高质量发展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任务10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冷链食品集中监管仓运行经费及疫情防控经费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对冷链食品进行集中监管,切实做好疫情防控工作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324,000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324,000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任务11</w:t>
            </w:r>
          </w:p>
        </w:tc>
        <w:tc>
          <w:tcPr>
            <w:tcW w:w="2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执法人员执法服装采购</w:t>
            </w:r>
          </w:p>
        </w:tc>
        <w:tc>
          <w:tcPr>
            <w:tcW w:w="5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保障执法人员工作形象,采购执法服装一批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330,000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330,000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金额合计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17,051,301.21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17,051,301.21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3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1.协助经营户商标注册,并开展知识产权相关工作等；2.开展春雷行动、生产流通领域执法等工作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678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4186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指标值（包含数字及文字描述）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完成指标</w:t>
            </w:r>
          </w:p>
        </w:tc>
        <w:tc>
          <w:tcPr>
            <w:tcW w:w="13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保障机关运行人数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≥110人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抽检批次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≥3730批次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商标注册户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≥200户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证照免费注册户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≥2000户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宣传培训对象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≥4000人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执法办案案件数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≥80件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执法监管对象户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≥3500户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优化营商环境对象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≥530户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监管执法覆盖率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执法办案结案率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营商环境优化率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抽检不合格处置率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2022年12月31日之前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≤1338万元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≤369万元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优化营商环境,严厉打击不法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子违法行为。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保障全市经济健康发展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提升全市消费环境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保障全市市民健康消费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6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4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5"/>
        <w:tblW w:w="1424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8"/>
        <w:gridCol w:w="1580"/>
        <w:gridCol w:w="1076"/>
        <w:gridCol w:w="1815"/>
        <w:gridCol w:w="1050"/>
        <w:gridCol w:w="1260"/>
        <w:gridCol w:w="2175"/>
        <w:gridCol w:w="743"/>
        <w:gridCol w:w="725"/>
        <w:gridCol w:w="808"/>
        <w:gridCol w:w="615"/>
        <w:gridCol w:w="85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4244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2022年部门预算项目支出绩效目标表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600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82" w:type="dxa"/>
            <w:gridSpan w:val="3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金额单位：元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为新办企业提供免费刻章服务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为优化本市营商环境,为本市新办企业免费提供刻章服务。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优化全市营商环境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数量完成情况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执法监管成本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元/人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刻章成本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为新办企业免费刻章数量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农贸市场自产自销、快速检测及食品快速检测车运行经费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对全市农贸市场自产自销区域监管,并对农产品进行快速检测公示,保障全市人民放心采购。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食用农产品及水果类快速检测数量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快速检测合格率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提升食品安全环境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冷链食品集装监管仓运行经费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324,000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根据中、省、广安市及华蓥市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委、市政府工作安排及部署,为确保全市进口冷冻食品安全,不被污染,由我单位牵头做好冷链食品安全监管工作,进口食品进行统一管理,租赁了一冷冻场地,作为集中监管仓。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冷链食品监管覆盖率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冷链食品监管次数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提升我市安全饮食环境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商事制度营商环境改革、企业信用信息登记、双随机抽检专项工作等经费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1.对全市的企业、个体工商户相关证照的变更、注销、新增等工作,并开展双随机监督检查及抽检工作。2.深化“放管服”改革,优化我市营商环境。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双随机执法监管对象户数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双随机执法监管覆盖率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提升我市经济高质量发展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证照新增、变更户数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商标培育及非公党建工作、知识产权工作专项补助经费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协助经营户商标注册,并开展知识产权相关工作等,协助企业开展非公党建工作。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提升我市经济高质量发展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知识产权申请数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个（台、套、件、辆）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知识产权维护监管数量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实施品牌发展战略、提升质量强市建设（四川省质量促进条例）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为贯彻落实质量强国战略,提升质量强市建设,促进经济社会高质量发展,根据《四川省质量促进条例》,我局将质量促进工作纳入日常监管工作。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质量安全监管数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提升我市质量强制建设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质量监管覆盖率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市场监管计量器具强制检定专项经费及设备购置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新增职能职责,采购计量器具检定设备,并对全市的计量器具进行检定。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计量器具强制检定覆盖率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提升群众消费环境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计量器具强制检定数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个（台、套、件、辆）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执法人员执法服装购置费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为保障全省执法人员工作形象,由四川省市场监管局牵头并组织采购执法服装一批。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执法人员执法服装穿戴率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执法人员服装数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提升执法形象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执法人员满意度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生产流通领域执法及特种设备安全监管、产品质量抽检等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360,000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开展春雷行动、生产流通领域执法、特种设备安全监管、市场专项监管、质量安全监管等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执法办案数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个（台、套、件、辆）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执法监管覆盖率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执法办案结案率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执法监管户数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保障全市市场秩序健康发展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食品安全抽检、食品安全专项整治、放心舒心消费城市（消费者权益保护）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138001-华蓥市市场监督管理局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719,360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开展全市食品安全专项整治工作,结合上级交办及专项整治工作中发现的问题及时开展食品抽检工作,确保市民放心舒心消费。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食品安全监管覆盖率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食品安全监管经营户数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食品安全抽检批次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提升我市经济健康发展、保障全市群众健康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FF2F7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高中低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" w:hRule="atLeast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抽检不合格处置率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定性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</w:tbl>
    <w:p/>
    <w:p>
      <w:pPr>
        <w:widowControl/>
        <w:jc w:val="left"/>
      </w:pPr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OWU4NGNjMzM1ZDZmZjlmMDM5ZTIyZmE5NWJjMjQifQ=="/>
  </w:docVars>
  <w:rsids>
    <w:rsidRoot w:val="000561B4"/>
    <w:rsid w:val="000561B4"/>
    <w:rsid w:val="002969CA"/>
    <w:rsid w:val="00A34869"/>
    <w:rsid w:val="0D8D28DF"/>
    <w:rsid w:val="23A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bottom w:val="single" w:color="FFFFFF" w:sz="4" w:space="0"/>
      </w:pBdr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C0C0C0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C0C0C0"/>
      <w:kern w:val="0"/>
      <w:sz w:val="18"/>
      <w:szCs w:val="18"/>
    </w:rPr>
  </w:style>
  <w:style w:type="paragraph" w:customStyle="1" w:styleId="17">
    <w:name w:val="xl69"/>
    <w:basedOn w:val="1"/>
    <w:uiPriority w:val="0"/>
    <w:pPr>
      <w:widowControl/>
      <w:pBdr>
        <w:top w:val="single" w:color="C2C3C4" w:sz="4" w:space="0"/>
        <w:left w:val="single" w:color="C2C3C4" w:sz="4" w:space="0"/>
        <w:bottom w:val="single" w:color="C2C3C4" w:sz="4" w:space="0"/>
        <w:right w:val="single" w:color="C2C3C4" w:sz="4" w:space="0"/>
      </w:pBdr>
      <w:shd w:val="clear" w:color="EFF2F7" w:fill="EFF2F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C2C3C4" w:sz="4" w:space="0"/>
        <w:left w:val="single" w:color="C2C3C4" w:sz="4" w:space="0"/>
        <w:bottom w:val="single" w:color="C2C3C4" w:sz="4" w:space="0"/>
        <w:right w:val="single" w:color="C2C3C4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0"/>
      <w:szCs w:val="3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character" w:customStyle="1" w:styleId="2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3">
    <w:name w:val="[Normal]"/>
    <w:qFormat/>
    <w:uiPriority w:val="0"/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character" w:customStyle="1" w:styleId="24">
    <w:name w:val="Absatz-Standardschriftart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9F92-77E1-441B-8B41-9120B6AD8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3615</Words>
  <Characters>4060</Characters>
  <Lines>36</Lines>
  <Paragraphs>10</Paragraphs>
  <TotalTime>1</TotalTime>
  <ScaleCrop>false</ScaleCrop>
  <LinksUpToDate>false</LinksUpToDate>
  <CharactersWithSpaces>4096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2022-03-16T01:55:00Z</dcterms:created>
  <dc:creator>王 世琴</dc:creator>
  <cp:lastModifiedBy>Administrator</cp:lastModifiedBy>
  <dcterms:modified xsi:type="dcterms:W3CDTF">2023-05-15T03:24:21Z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7F983E0596554877B8B2C1B80476D2BF_12</vt:lpwstr>
  </property>
</Properties>
</file>