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jc w:val="center"/>
        <w:rPr>
          <w:rFonts w:ascii="Times New Roman" w:hAnsi="Times New Roman" w:eastAsia="方正小标宋_GBK" w:cs="方正小标宋_GBK"/>
          <w:b w:val="0"/>
          <w:bCs/>
        </w:rPr>
      </w:pPr>
      <w:bookmarkStart w:id="0" w:name="_Toc24593"/>
      <w:r>
        <w:rPr>
          <w:rFonts w:hint="eastAsia" w:ascii="Times New Roman" w:hAnsi="Times New Roman" w:eastAsia="方正小标宋_GBK" w:cs="方正小标宋_GBK"/>
          <w:b w:val="0"/>
          <w:bCs/>
        </w:rPr>
        <w:t>华蓥市发展和改革局</w:t>
      </w:r>
      <w:bookmarkEnd w:id="0"/>
    </w:p>
    <w:p>
      <w:pPr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2022年部门预算情况说明</w:t>
      </w:r>
    </w:p>
    <w:p>
      <w:pPr>
        <w:spacing w:line="590" w:lineRule="exact"/>
        <w:rPr>
          <w:rFonts w:ascii="Times New Roman" w:hAnsi="Times New Roman" w:eastAsia="方正仿宋_GBK" w:cs="方正仿宋_GBK"/>
          <w:sz w:val="33"/>
          <w:szCs w:val="33"/>
        </w:rPr>
      </w:pPr>
    </w:p>
    <w:p>
      <w:pPr>
        <w:spacing w:line="590" w:lineRule="exact"/>
        <w:ind w:firstLine="660" w:firstLineChars="200"/>
        <w:rPr>
          <w:rFonts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华蓥市发展和改革局下属二级预算单位1个。</w:t>
      </w:r>
    </w:p>
    <w:p>
      <w:pPr>
        <w:spacing w:line="590" w:lineRule="exact"/>
        <w:ind w:firstLine="648" w:firstLineChars="200"/>
        <w:rPr>
          <w:rFonts w:ascii="Times New Roman" w:hAnsi="Times New Roman" w:eastAsia="方正仿宋_GBK" w:cs="方正仿宋_GBK"/>
          <w:spacing w:val="-3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总编制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fldChar w:fldCharType="begin"/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instrText xml:space="preserve"> MERGEFIELD D0025 </w:instrTex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fldChar w:fldCharType="separate"/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44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fldChar w:fldCharType="end"/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名，其中行政编制</w:t>
      </w:r>
      <w:r>
        <w:rPr>
          <w:rFonts w:ascii="Times New Roman" w:hAnsi="Times New Roman" w:eastAsia="方正仿宋_GBK" w:cs="方正仿宋_GBK"/>
          <w:spacing w:val="-3"/>
          <w:sz w:val="33"/>
          <w:szCs w:val="33"/>
        </w:rPr>
        <w:t>15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名，事业编制</w:t>
      </w:r>
      <w:r>
        <w:rPr>
          <w:rFonts w:ascii="Times New Roman" w:hAnsi="Times New Roman" w:eastAsia="方正仿宋_GBK" w:cs="方正仿宋_GBK"/>
          <w:spacing w:val="-3"/>
          <w:sz w:val="33"/>
          <w:szCs w:val="33"/>
        </w:rPr>
        <w:t>26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名，工勤编制</w:t>
      </w:r>
      <w:r>
        <w:rPr>
          <w:rFonts w:ascii="Times New Roman" w:hAnsi="Times New Roman" w:eastAsia="方正仿宋_GBK" w:cs="方正仿宋_GBK"/>
          <w:spacing w:val="-3"/>
          <w:sz w:val="33"/>
          <w:szCs w:val="33"/>
        </w:rPr>
        <w:t>3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名。在职人员总数</w:t>
      </w:r>
      <w:r>
        <w:rPr>
          <w:rFonts w:ascii="Times New Roman" w:hAnsi="Times New Roman" w:eastAsia="方正仿宋_GBK" w:cs="方正仿宋_GBK"/>
          <w:spacing w:val="-3"/>
          <w:sz w:val="33"/>
          <w:szCs w:val="33"/>
        </w:rPr>
        <w:t>45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人，其中行政人员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fldChar w:fldCharType="begin"/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instrText xml:space="preserve"> MERGEFIELD D0013 </w:instrTex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fldChar w:fldCharType="separate"/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17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fldChar w:fldCharType="end"/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人，事业人员</w:t>
      </w:r>
      <w:r>
        <w:rPr>
          <w:rFonts w:ascii="Times New Roman" w:hAnsi="Times New Roman" w:eastAsia="方正仿宋_GBK" w:cs="方正仿宋_GBK"/>
          <w:spacing w:val="-3"/>
          <w:sz w:val="33"/>
          <w:szCs w:val="33"/>
        </w:rPr>
        <w:t>25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人，工勤人员</w:t>
      </w:r>
      <w:r>
        <w:rPr>
          <w:rFonts w:ascii="Times New Roman" w:hAnsi="Times New Roman" w:eastAsia="方正仿宋_GBK" w:cs="方正仿宋_GBK"/>
          <w:spacing w:val="-3"/>
          <w:sz w:val="33"/>
          <w:szCs w:val="33"/>
        </w:rPr>
        <w:t>3</w:t>
      </w:r>
      <w:r>
        <w:rPr>
          <w:rFonts w:hint="eastAsia" w:ascii="Times New Roman" w:hAnsi="Times New Roman" w:eastAsia="方正仿宋_GBK" w:cs="方正仿宋_GBK"/>
          <w:spacing w:val="-3"/>
          <w:sz w:val="33"/>
          <w:szCs w:val="33"/>
        </w:rPr>
        <w:t>人。离休人员0人，退休人员10人。</w:t>
      </w:r>
    </w:p>
    <w:p>
      <w:pPr>
        <w:spacing w:line="590" w:lineRule="exact"/>
        <w:ind w:firstLine="660" w:firstLineChars="200"/>
        <w:rPr>
          <w:rFonts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2022年部门预算收入总数</w:t>
      </w:r>
      <w:r>
        <w:rPr>
          <w:rFonts w:ascii="Times New Roman" w:hAnsi="Times New Roman" w:eastAsia="方正仿宋_GBK" w:cs="方正仿宋_GBK"/>
          <w:sz w:val="33"/>
          <w:szCs w:val="33"/>
        </w:rPr>
        <w:t>809.24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万元（含上年结转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fldChar w:fldCharType="begin"/>
      </w:r>
      <w:r>
        <w:rPr>
          <w:rFonts w:hint="eastAsia" w:ascii="Times New Roman" w:hAnsi="Times New Roman" w:eastAsia="方正仿宋_GBK" w:cs="方正仿宋_GBK"/>
          <w:sz w:val="33"/>
          <w:szCs w:val="33"/>
        </w:rPr>
        <w:instrText xml:space="preserve"> MERGEFIELD D0038 </w:instrText>
      </w:r>
      <w:r>
        <w:rPr>
          <w:rFonts w:hint="eastAsia" w:ascii="Times New Roman" w:hAnsi="Times New Roman" w:eastAsia="方正仿宋_GBK" w:cs="方正仿宋_GBK"/>
          <w:sz w:val="33"/>
          <w:szCs w:val="33"/>
        </w:rPr>
        <w:fldChar w:fldCharType="separate"/>
      </w:r>
      <w:r>
        <w:rPr>
          <w:rFonts w:hint="eastAsia" w:ascii="Times New Roman" w:hAnsi="Times New Roman" w:eastAsia="方正仿宋_GBK" w:cs="方正仿宋_GBK"/>
          <w:sz w:val="33"/>
          <w:szCs w:val="33"/>
        </w:rPr>
        <w:t>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fldChar w:fldCharType="end"/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万元），比2021年部门预算收入总数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fldChar w:fldCharType="begin"/>
      </w:r>
      <w:r>
        <w:rPr>
          <w:rFonts w:hint="eastAsia" w:ascii="Times New Roman" w:hAnsi="Times New Roman" w:eastAsia="方正仿宋_GBK" w:cs="方正仿宋_GBK"/>
          <w:sz w:val="33"/>
          <w:szCs w:val="33"/>
        </w:rPr>
        <w:instrText xml:space="preserve"> MERGEFIELD D0037 </w:instrText>
      </w:r>
      <w:r>
        <w:rPr>
          <w:rFonts w:hint="eastAsia" w:ascii="Times New Roman" w:hAnsi="Times New Roman" w:eastAsia="方正仿宋_GBK" w:cs="方正仿宋_GBK"/>
          <w:sz w:val="33"/>
          <w:szCs w:val="33"/>
        </w:rPr>
        <w:fldChar w:fldCharType="separate"/>
      </w:r>
      <w:r>
        <w:rPr>
          <w:rFonts w:hint="eastAsia" w:ascii="Times New Roman" w:hAnsi="Times New Roman" w:eastAsia="方正仿宋_GBK" w:cs="方正仿宋_GBK"/>
          <w:sz w:val="33"/>
          <w:szCs w:val="33"/>
        </w:rPr>
        <w:t>755.90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fldChar w:fldCharType="end"/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万元，增长</w:t>
      </w:r>
      <w:r>
        <w:rPr>
          <w:rFonts w:ascii="Times New Roman" w:hAnsi="Times New Roman" w:eastAsia="方正仿宋_GBK" w:cs="方正仿宋_GBK"/>
          <w:sz w:val="33"/>
          <w:szCs w:val="33"/>
        </w:rPr>
        <w:t>7.06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%；2022年部门预算支出总数</w:t>
      </w:r>
      <w:r>
        <w:rPr>
          <w:rFonts w:ascii="Times New Roman" w:hAnsi="Times New Roman" w:eastAsia="方正仿宋_GBK" w:cs="方正仿宋_GBK"/>
          <w:sz w:val="33"/>
          <w:szCs w:val="33"/>
        </w:rPr>
        <w:t>809.24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万元，比2021年部门预算支出总数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fldChar w:fldCharType="begin"/>
      </w:r>
      <w:r>
        <w:rPr>
          <w:rFonts w:hint="eastAsia" w:ascii="Times New Roman" w:hAnsi="Times New Roman" w:eastAsia="方正仿宋_GBK" w:cs="方正仿宋_GBK"/>
          <w:sz w:val="33"/>
          <w:szCs w:val="33"/>
        </w:rPr>
        <w:instrText xml:space="preserve"> MERGEFIELD D0037 </w:instrText>
      </w:r>
      <w:r>
        <w:rPr>
          <w:rFonts w:hint="eastAsia" w:ascii="Times New Roman" w:hAnsi="Times New Roman" w:eastAsia="方正仿宋_GBK" w:cs="方正仿宋_GBK"/>
          <w:sz w:val="33"/>
          <w:szCs w:val="33"/>
        </w:rPr>
        <w:fldChar w:fldCharType="separate"/>
      </w:r>
      <w:r>
        <w:rPr>
          <w:rFonts w:hint="eastAsia" w:ascii="Times New Roman" w:hAnsi="Times New Roman" w:eastAsia="方正仿宋_GBK" w:cs="方正仿宋_GBK"/>
          <w:sz w:val="33"/>
          <w:szCs w:val="33"/>
        </w:rPr>
        <w:t>755.90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fldChar w:fldCharType="end"/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万元，增长</w:t>
      </w:r>
      <w:r>
        <w:rPr>
          <w:rFonts w:ascii="Times New Roman" w:hAnsi="Times New Roman" w:eastAsia="方正仿宋_GBK" w:cs="方正仿宋_GBK"/>
          <w:sz w:val="33"/>
          <w:szCs w:val="33"/>
        </w:rPr>
        <w:t>7.06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%。</w:t>
      </w:r>
    </w:p>
    <w:p>
      <w:pPr>
        <w:spacing w:line="590" w:lineRule="exact"/>
        <w:ind w:firstLine="660" w:firstLineChars="200"/>
        <w:rPr>
          <w:rFonts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2022年部门基本支出预算总数</w:t>
      </w:r>
      <w:r>
        <w:rPr>
          <w:rFonts w:ascii="Times New Roman" w:hAnsi="Times New Roman" w:eastAsia="方正仿宋_GBK" w:cs="方正仿宋_GBK"/>
          <w:sz w:val="33"/>
          <w:szCs w:val="33"/>
        </w:rPr>
        <w:t>512.24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万元，其中：人员支出</w:t>
      </w:r>
      <w:r>
        <w:rPr>
          <w:rFonts w:ascii="Times New Roman" w:hAnsi="Times New Roman" w:eastAsia="方正仿宋_GBK" w:cs="方正仿宋_GBK"/>
          <w:sz w:val="33"/>
          <w:szCs w:val="33"/>
        </w:rPr>
        <w:t>428.50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万元，公用支出</w:t>
      </w:r>
      <w:r>
        <w:rPr>
          <w:rFonts w:ascii="Times New Roman" w:hAnsi="Times New Roman" w:eastAsia="方正仿宋_GBK" w:cs="方正仿宋_GBK"/>
          <w:sz w:val="33"/>
          <w:szCs w:val="33"/>
        </w:rPr>
        <w:t>83.74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万元。</w:t>
      </w:r>
    </w:p>
    <w:p>
      <w:pPr>
        <w:spacing w:line="590" w:lineRule="exact"/>
        <w:ind w:firstLine="660" w:firstLineChars="200"/>
        <w:rPr>
          <w:rFonts w:ascii="Times New Roman" w:hAnsi="Times New Roman" w:eastAsia="方正仿宋_GBK" w:cs="方正仿宋_GBK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2022年部门预算安排项目经费</w:t>
      </w:r>
      <w:r>
        <w:rPr>
          <w:rFonts w:ascii="Times New Roman" w:hAnsi="Times New Roman" w:eastAsia="方正仿宋_GBK" w:cs="方正仿宋_GBK"/>
          <w:sz w:val="33"/>
          <w:szCs w:val="33"/>
        </w:rPr>
        <w:t>297.00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万元，用于保障单位正常业务需要、完成特定的工作任务或发展目标。</w:t>
      </w:r>
    </w:p>
    <w:p>
      <w:pPr>
        <w:spacing w:line="590" w:lineRule="exact"/>
        <w:ind w:firstLine="660" w:firstLineChars="200"/>
        <w:rPr>
          <w:rFonts w:ascii="Times New Roman" w:hAnsi="Times New Roman" w:eastAsia="方正仿宋_GBK" w:cs="方正仿宋_GBK"/>
          <w:sz w:val="33"/>
          <w:szCs w:val="33"/>
        </w:rPr>
      </w:pPr>
    </w:p>
    <w:tbl>
      <w:tblPr>
        <w:tblStyle w:val="3"/>
        <w:tblW w:w="12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7"/>
        <w:gridCol w:w="2178"/>
        <w:gridCol w:w="3568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90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方正小标宋_GBK"/>
                <w:kern w:val="0"/>
                <w:sz w:val="44"/>
                <w:szCs w:val="44"/>
              </w:rPr>
              <w:t>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15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部门/单位：华蓥市发展和改革局本级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收    入</w:t>
            </w:r>
          </w:p>
        </w:tc>
        <w:tc>
          <w:tcPr>
            <w:tcW w:w="5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支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项    目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预算数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项    目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一、一般公共预算拨款收入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7,293,931.36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一、一般公共服务支出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7,030,675.36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二、政府性基金预算拨款收入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kern w:val="0"/>
                <w:sz w:val="22"/>
              </w:rPr>
              <w:t>798,500.00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二、城乡社区支出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kern w:val="0"/>
                <w:sz w:val="22"/>
              </w:rPr>
              <w:t>798,500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三、国有资本经营预算拨款收入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三、住房保障支出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四、财政专户管理资金收入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五、事业收入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六、上级补助收入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七、附属单位上缴收入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八、事业单位经营收入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九、其他收入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本年收入合计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  <w:t>8,092,431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.36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本年支出合计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  <w:t>8,092,431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年终结转结余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收入总计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  <w:t>8,092,431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.36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支出总计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  <w:t>8,092,431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.36</w:t>
            </w:r>
          </w:p>
        </w:tc>
      </w:tr>
    </w:tbl>
    <w:p>
      <w:pPr>
        <w:spacing w:line="200" w:lineRule="exact"/>
        <w:ind w:firstLine="660" w:firstLineChars="200"/>
        <w:rPr>
          <w:rFonts w:ascii="Times New Roman" w:hAnsi="Times New Roman" w:eastAsia="方正仿宋_GBK" w:cs="方正仿宋_GBK"/>
          <w:sz w:val="33"/>
          <w:szCs w:val="33"/>
        </w:rPr>
      </w:pPr>
    </w:p>
    <w:tbl>
      <w:tblPr>
        <w:tblStyle w:val="3"/>
        <w:tblW w:w="1400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1422"/>
        <w:gridCol w:w="172"/>
        <w:gridCol w:w="1046"/>
        <w:gridCol w:w="90"/>
        <w:gridCol w:w="1245"/>
        <w:gridCol w:w="322"/>
        <w:gridCol w:w="30"/>
        <w:gridCol w:w="1928"/>
        <w:gridCol w:w="1869"/>
        <w:gridCol w:w="1750"/>
        <w:gridCol w:w="162"/>
        <w:gridCol w:w="1333"/>
        <w:gridCol w:w="108"/>
        <w:gridCol w:w="1418"/>
        <w:gridCol w:w="205"/>
        <w:gridCol w:w="860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700" w:hRule="atLeast"/>
        </w:trPr>
        <w:tc>
          <w:tcPr>
            <w:tcW w:w="13100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方正小标宋_GBK"/>
                <w:kern w:val="0"/>
                <w:sz w:val="44"/>
                <w:szCs w:val="44"/>
              </w:rPr>
              <w:t>一般公共预算支出预算表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04" w:hRule="atLeast"/>
        </w:trPr>
        <w:tc>
          <w:tcPr>
            <w:tcW w:w="4327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部门/单位：华蓥市发展和改革局本级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503" w:hRule="atLeast"/>
        </w:trPr>
        <w:tc>
          <w:tcPr>
            <w:tcW w:w="15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功能科目编码</w:t>
            </w:r>
          </w:p>
        </w:tc>
        <w:tc>
          <w:tcPr>
            <w:tcW w:w="27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功能科目名称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5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基本支出</w:t>
            </w:r>
          </w:p>
        </w:tc>
        <w:tc>
          <w:tcPr>
            <w:tcW w:w="17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503" w:hRule="atLeast"/>
        </w:trPr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人员经费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公用经费</w:t>
            </w:r>
          </w:p>
        </w:tc>
        <w:tc>
          <w:tcPr>
            <w:tcW w:w="17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201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一般公共服务支出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7,030,675.36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4,859,175.36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4,021,701.28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837,474.08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2,171,500.00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617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20103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政府办公厅（室）及相关机构事务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383,675.32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283,675.32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283,675.32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100,000.00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2010301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行政运行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283,675.32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283,675.32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283,675.32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2010302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一般行政管理事务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100,000.00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100,000.00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20104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发展与改革事务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6,647,000.04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4,575,500.04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3,738,025.96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837,474.08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2,071,500.00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2010401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行政运行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3,033,650.60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3,033,650.60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2,196,176.52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837,474.08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2010402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一般行政管理事务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1,571,500.00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1,571,500.00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2010408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物价管理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500,000.00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500,000.00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2010450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事业运行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1,541,849.44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1,541,849.44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1,541,849.44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221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住房保障支出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22102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住房改革支出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7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2210201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  住房公积金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263,256.00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" w:type="dxa"/>
          <w:wAfter w:w="880" w:type="dxa"/>
          <w:trHeight w:val="483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合    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7,293,931.36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5,122,431.36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4,284,957.28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837,474.08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</w:rPr>
              <w:t>2,171,500.00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8" w:hRule="atLeast"/>
        </w:trPr>
        <w:tc>
          <w:tcPr>
            <w:tcW w:w="13980" w:type="dxa"/>
            <w:gridSpan w:val="1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2022年部门预算整体支出绩效目标表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125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华蓥市发展和改革局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vMerge w:val="restart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</w:t>
            </w:r>
          </w:p>
        </w:tc>
        <w:tc>
          <w:tcPr>
            <w:tcW w:w="130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任务名称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主要任务</w:t>
            </w:r>
          </w:p>
        </w:tc>
        <w:tc>
          <w:tcPr>
            <w:tcW w:w="5739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任务内容</w:t>
            </w:r>
          </w:p>
        </w:tc>
        <w:tc>
          <w:tcPr>
            <w:tcW w:w="394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9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总额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1085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44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任务1</w:t>
            </w:r>
          </w:p>
        </w:tc>
        <w:tc>
          <w:tcPr>
            <w:tcW w:w="1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项目前期费用</w:t>
            </w:r>
          </w:p>
        </w:tc>
        <w:tc>
          <w:tcPr>
            <w:tcW w:w="5739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做好重大项目现场打造、迎检工作、集中开工等；以及中省预算内投资项目申报资料等；加快推进华蓥市采煤沉陷区综合治理实施方案和2022年度计划的相关工作。编制《华蓥市2021年国民经济和社会发展计划执行情况及2022年计划草案的报告》、2022年度资源枯竭城市转型绩效考核等；固定资产投资,全市固定资产投资增长8%以上,新增入库投资总额220亿元以上；重点项目建设,管理推动人民医院迁建、谦宜等70个以上省市县三级重点项目,确保完成年度建设任务</w:t>
            </w:r>
          </w:p>
        </w:tc>
        <w:tc>
          <w:tcPr>
            <w:tcW w:w="14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0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4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任务2</w:t>
            </w:r>
          </w:p>
        </w:tc>
        <w:tc>
          <w:tcPr>
            <w:tcW w:w="1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项目管理费用</w:t>
            </w:r>
          </w:p>
        </w:tc>
        <w:tc>
          <w:tcPr>
            <w:tcW w:w="57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做好铁路建设、通用机场、区域合作、财经办督导重大决策部署等项目；继续开好项目入库每月例会,组织精干力量深入各乡镇（街道）部门指导项目入库申报工作；</w:t>
            </w:r>
          </w:p>
        </w:tc>
        <w:tc>
          <w:tcPr>
            <w:tcW w:w="14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1,470,000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1,470,000</w:t>
            </w:r>
          </w:p>
        </w:tc>
        <w:tc>
          <w:tcPr>
            <w:tcW w:w="10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44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任务3</w:t>
            </w:r>
          </w:p>
        </w:tc>
        <w:tc>
          <w:tcPr>
            <w:tcW w:w="1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物价管理费用</w:t>
            </w:r>
          </w:p>
        </w:tc>
        <w:tc>
          <w:tcPr>
            <w:tcW w:w="57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强市场监管力度,严厉查处价格违法行为。重点开展涉农、涉企、医疗、教育、成品油等收费专项检查。严格按照省、市要求,稳妥推进水电油气等资源性产品价格改革。居民消费价格总水平涨幅控制在省、广安市下达目标内。做好来信来访和“12358”价格举报电话等价格服务工作</w:t>
            </w:r>
          </w:p>
        </w:tc>
        <w:tc>
          <w:tcPr>
            <w:tcW w:w="14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0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任务5</w:t>
            </w:r>
          </w:p>
        </w:tc>
        <w:tc>
          <w:tcPr>
            <w:tcW w:w="15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57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保证局机关正常运转</w:t>
            </w:r>
          </w:p>
        </w:tc>
        <w:tc>
          <w:tcPr>
            <w:tcW w:w="14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6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5,122,431.36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5,122,431.36</w:t>
            </w:r>
          </w:p>
        </w:tc>
        <w:tc>
          <w:tcPr>
            <w:tcW w:w="10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金额合计</w:t>
            </w:r>
          </w:p>
        </w:tc>
        <w:tc>
          <w:tcPr>
            <w:tcW w:w="14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8,092,431.36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8,092,431.36</w:t>
            </w:r>
          </w:p>
        </w:tc>
        <w:tc>
          <w:tcPr>
            <w:tcW w:w="10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12558" w:type="dxa"/>
            <w:gridSpan w:val="1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全面加强党的建设。坚持以“三红”党建为统领,结合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党史学习教育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推动“三会一课”等理论学习常态化、制度化,引导全局干部职工坚决捍卫“两个确立”、做到“两个维护”。全面推进党建与业务相融合,持续开展“发改大讲堂”等系列活动,提高干部职工工作能力和综合素质。严格落实全面从严治党要求,加强廉政教育,严格纪律规定,确保全面一岗双责、从严治党主体责任有效落实,全局干部职工知敬畏、守底线,讲规矩、守纪律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紧盯投向对上争取。精准把握中省政策投向,结合“十四五”各类规划及华蓥实际,组织指导市级部门、乡镇街道、企事业单位包装储备项目200个以上,计划总投资400亿元以上,确保上级投向明确时,拿得出、用得上。积极主动对上衔接汇报,跟踪关注重点采煤沉陷区治理、保障性安居工程等中省预算内投资项目、专项债券项目申报情况,力争成功争创天府旅游名县候选县、省三星级现代林业园区等政策12条,争取华蓥市杨家河蒙家河流域水环境综合治理、高兴镇城镇危旧房改造项目（二期）等竞争性项目120个,到位各类资金36亿元以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抢抓进度项目建设。充分发挥投资主管部门职能职责,强化53个省市县重点项目统筹调度,力争四川谦宜复合材料有限公司年产6万吨玄武岩连续纤维及其制品生产线等2个省重点项目年度完成投资5.9亿元以上（未包含2个子项目）,电子信息产业园（四期）二标段等11个广安市重点项目年度完成投资17.6亿元以上,射洪庙幼儿园等38个县重点项目完成投资16.6亿元以上。严格落实“448”三年行动计划和2022年目标任务,抓好80个“三抓”重点项目统筹协调,力争工业发展区配气站等22个项目建成投用,省道S406华蓥明月段等19个项目加快建设,华蓥市重点采煤沉陷区华蓥山经开区安置区建设项目一期等39个项目开工建设,确保全年完成投资34.94亿元以上。持续开展项目入库每月例会,做好亿元以上项目入库的现场打造和迎检工作,确保华蓥山红岩精神党性教育基地建设项目、路面材料基地等一批重大项目成功入库。配合做好西渝高铁项目征地拆迁等前期工作,扎实推进以工代赈、农村电网改造项目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061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944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完成指标</w:t>
            </w:r>
          </w:p>
        </w:tc>
        <w:tc>
          <w:tcPr>
            <w:tcW w:w="13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0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发改立项个数</w:t>
            </w:r>
          </w:p>
        </w:tc>
        <w:tc>
          <w:tcPr>
            <w:tcW w:w="39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≥30项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“十四五”规划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编制数量</w:t>
            </w:r>
          </w:p>
        </w:tc>
        <w:tc>
          <w:tcPr>
            <w:tcW w:w="39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0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项目完成合格率</w:t>
            </w:r>
          </w:p>
        </w:tc>
        <w:tc>
          <w:tcPr>
            <w:tcW w:w="39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0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经济增长率</w:t>
            </w:r>
          </w:p>
        </w:tc>
        <w:tc>
          <w:tcPr>
            <w:tcW w:w="39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4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06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39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≥85%</w:t>
            </w:r>
          </w:p>
        </w:tc>
      </w:tr>
    </w:tbl>
    <w:p/>
    <w:p/>
    <w:p/>
    <w:p/>
    <w:p/>
    <w:p/>
    <w:tbl>
      <w:tblPr>
        <w:tblStyle w:val="3"/>
        <w:tblW w:w="14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25"/>
        <w:gridCol w:w="1042"/>
        <w:gridCol w:w="2917"/>
        <w:gridCol w:w="880"/>
        <w:gridCol w:w="1199"/>
        <w:gridCol w:w="1667"/>
        <w:gridCol w:w="900"/>
        <w:gridCol w:w="615"/>
        <w:gridCol w:w="750"/>
        <w:gridCol w:w="675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09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2022年部门预算项目支出绩效目标表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64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65" w:type="dxa"/>
            <w:gridSpan w:val="3"/>
            <w:tcBorders>
              <w:top w:val="single" w:color="FFFFFF" w:sz="4" w:space="0"/>
              <w:left w:val="nil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指标方向性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2022年项目管理费用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316001-华蓥市发展和改革局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1,470,000</w:t>
            </w:r>
          </w:p>
        </w:tc>
        <w:tc>
          <w:tcPr>
            <w:tcW w:w="2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全力抓实项目谋划,力争2022年新增储备项目400个以上；力争国家重点采煤沉陷区综合治理、电镀产业园建设、高兴无水港建设、玄武岩产业园区基础设施建设、2022年度投资计划并获项目资金支持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项目管理费用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户（套）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项目管理费用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2022项目前期费用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316001-华蓥市发展和改革局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1,000,000</w:t>
            </w:r>
          </w:p>
        </w:tc>
        <w:tc>
          <w:tcPr>
            <w:tcW w:w="2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加强同中、省衔接,加快推进华蓥市采煤沉陷区综合治理实施及双圈工作以及招商工资。编制《华蓥市2022年国民经济和社会发展计划执行情况及2022年计划草案的报告》。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可研经费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元/个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可持续发展指标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可研经费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元/户（套）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物价管理人员费用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316001-华蓥市发展和改革局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500,000</w:t>
            </w:r>
          </w:p>
        </w:tc>
        <w:tc>
          <w:tcPr>
            <w:tcW w:w="2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强市场监管力度,严厉查处价格违法行为。重点开展涉农、涉企、医疗、教育、成品油等收费专项检查。严格按照省、市要求,稳妥推进水电油气等资源性产品价格改革。居民消费价格总水平涨幅控制在省、广安市下达目标内。做好来信来访和“12358”价格举报电话等价格服务工作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物价管理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物价管理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正向指标</w:t>
            </w:r>
          </w:p>
        </w:tc>
      </w:tr>
    </w:tbl>
    <w:p/>
    <w:sectPr>
      <w:pgSz w:w="16838" w:h="11906" w:orient="landscape"/>
      <w:pgMar w:top="1304" w:right="1417" w:bottom="130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U4NGNjMzM1ZDZmZjlmMDM5ZTIyZmE5NWJjMjQifQ=="/>
  </w:docVars>
  <w:rsids>
    <w:rsidRoot w:val="119F36DE"/>
    <w:rsid w:val="0C5F7954"/>
    <w:rsid w:val="119F36DE"/>
    <w:rsid w:val="405E5DFC"/>
    <w:rsid w:val="465F514F"/>
    <w:rsid w:val="75885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2022-03-14T08:02:00Z</dcterms:created>
  <dc:creator>lenovo</dc:creator>
  <cp:lastModifiedBy>陈缘</cp:lastModifiedBy>
  <dcterms:modified xsi:type="dcterms:W3CDTF">2024-05-07T06:51:29Z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EF0E846D11DC41CD980DB7FFBD21D81C_12</vt:lpwstr>
  </property>
</Properties>
</file>