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sz w:val="72"/>
          <w:szCs w:val="72"/>
          <w:lang w:val="en-US" w:eastAsia="zh-CN"/>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77193"/>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Start w:id="6" w:name="_Toc15378442"/>
      <w:bookmarkStart w:id="7" w:name="_Toc15377194"/>
      <w:bookmarkStart w:id="8" w:name="_Toc15396476"/>
      <w:bookmarkStart w:id="9" w:name="_Toc15377426"/>
      <w:bookmarkStart w:id="10" w:name="_Toc15396598"/>
    </w:p>
    <w:bookmarkEnd w:id="0"/>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简体" w:hAnsi="方正小标宋简体" w:eastAsia="方正小标宋简体" w:cs="方正小标宋简体"/>
          <w:sz w:val="72"/>
          <w:szCs w:val="72"/>
          <w:lang w:eastAsia="zh-CN"/>
        </w:rPr>
      </w:pPr>
      <w:bookmarkStart w:id="11" w:name="_Toc15306268"/>
      <w:bookmarkStart w:id="12" w:name="_Toc19332"/>
      <w:r>
        <w:rPr>
          <w:rFonts w:hint="eastAsia" w:ascii="方正小标宋简体" w:hAnsi="方正小标宋简体" w:eastAsia="方正小标宋简体" w:cs="方正小标宋简体"/>
          <w:sz w:val="72"/>
          <w:szCs w:val="72"/>
          <w:lang w:eastAsia="zh-CN"/>
        </w:rPr>
        <w:t>四川省华蓥市交通运输局单位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编制说明</w:t>
      </w:r>
      <w:bookmarkEnd w:id="12"/>
    </w:p>
    <w:p>
      <w:pPr>
        <w:adjustRightInd w:val="0"/>
        <w:snapToGrid w:val="0"/>
        <w:spacing w:line="360" w:lineRule="auto"/>
        <w:jc w:val="center"/>
        <w:outlineLvl w:val="9"/>
        <w:rPr>
          <w:rFonts w:ascii="方正小标宋简体" w:hAnsi="宋体" w:eastAsia="方正小标宋简体"/>
          <w:sz w:val="52"/>
          <w:szCs w:val="52"/>
        </w:rPr>
      </w:pPr>
    </w:p>
    <w:p>
      <w:pPr>
        <w:widowControl/>
        <w:spacing w:line="440" w:lineRule="exact"/>
        <w:jc w:val="left"/>
        <w:rPr>
          <w:rFonts w:ascii="仿宋" w:hAnsi="仿宋" w:eastAsia="仿宋"/>
          <w:b/>
          <w:sz w:val="24"/>
        </w:rPr>
      </w:pPr>
      <w:r>
        <w:rPr>
          <w:rFonts w:ascii="方正小标宋简体" w:hAnsi="宋体" w:eastAsia="方正小标宋简体"/>
          <w:sz w:val="36"/>
          <w:szCs w:val="36"/>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pStyle w:val="10"/>
        <w:rPr>
          <w:highlight w:val="none"/>
        </w:rPr>
      </w:pPr>
      <w:r>
        <w:rPr>
          <w:rFonts w:hint="eastAsia"/>
          <w:highlight w:val="none"/>
        </w:rPr>
        <w:t>公开时间：202</w:t>
      </w:r>
      <w:r>
        <w:rPr>
          <w:rFonts w:hint="eastAsia"/>
          <w:highlight w:val="none"/>
          <w:lang w:val="en-US" w:eastAsia="zh-CN"/>
        </w:rPr>
        <w:t>2</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26</w:t>
      </w:r>
      <w:r>
        <w:rPr>
          <w:rFonts w:hint="eastAsia"/>
          <w:highlight w:val="none"/>
        </w:rPr>
        <w:t>日</w:t>
      </w:r>
    </w:p>
    <w:p>
      <w:pPr>
        <w:pStyle w:val="10"/>
        <w:tabs>
          <w:tab w:val="right" w:leader="dot" w:pos="8306"/>
          <w:tab w:val="clear" w:pos="8296"/>
        </w:tabs>
        <w:rPr>
          <w:sz w:val="40"/>
          <w:szCs w:val="40"/>
        </w:rPr>
      </w:pPr>
      <w:r>
        <w:rPr>
          <w:rFonts w:hint="eastAsia" w:ascii="黑体" w:hAnsi="黑体" w:eastAsia="黑体" w:cs="黑体"/>
        </w:rPr>
        <w:fldChar w:fldCharType="begin"/>
      </w:r>
      <w:r>
        <w:rPr>
          <w:rFonts w:hint="eastAsia" w:ascii="黑体" w:hAnsi="黑体" w:eastAsia="黑体" w:cs="黑体"/>
        </w:rPr>
        <w:instrText xml:space="preserve">TOC \o "1-2" \h \u </w:instrText>
      </w:r>
      <w:r>
        <w:rPr>
          <w:rFonts w:hint="eastAsia" w:ascii="黑体" w:hAnsi="黑体" w:eastAsia="黑体" w:cs="黑体"/>
        </w:rPr>
        <w:fldChar w:fldCharType="separate"/>
      </w:r>
      <w:r>
        <w:rPr>
          <w:rFonts w:hint="eastAsia" w:ascii="黑体" w:hAnsi="黑体" w:eastAsia="黑体"/>
          <w:sz w:val="30"/>
          <w:szCs w:val="30"/>
        </w:rPr>
        <w:fldChar w:fldCharType="begin"/>
      </w:r>
      <w:r>
        <w:rPr>
          <w:rFonts w:hint="eastAsia" w:ascii="黑体" w:hAnsi="黑体" w:eastAsia="黑体"/>
          <w:sz w:val="30"/>
          <w:szCs w:val="30"/>
        </w:rPr>
        <w:instrText xml:space="preserve"> HYPERLINK \l _Toc7435 </w:instrText>
      </w:r>
      <w:r>
        <w:rPr>
          <w:rFonts w:hint="eastAsia" w:ascii="黑体" w:hAnsi="黑体" w:eastAsia="黑体"/>
          <w:sz w:val="30"/>
          <w:szCs w:val="30"/>
        </w:rPr>
        <w:fldChar w:fldCharType="separate"/>
      </w:r>
      <w:r>
        <w:rPr>
          <w:rFonts w:hint="eastAsia" w:ascii="黑体" w:hAnsi="黑体" w:eastAsia="黑体"/>
          <w:sz w:val="30"/>
          <w:szCs w:val="30"/>
        </w:rPr>
        <w:t>第一部分 单位概况</w:t>
      </w:r>
      <w:r>
        <w:rPr>
          <w:rFonts w:hint="eastAsia" w:ascii="Times New Roman" w:hAnsi="Times New Roman" w:eastAsia="宋体" w:cs="Times New Roman"/>
          <w:kern w:val="2"/>
          <w:sz w:val="28"/>
          <w:szCs w:val="36"/>
          <w:lang w:val="en-US" w:eastAsia="zh-CN" w:bidi="ar-SA"/>
        </w:rPr>
        <w:tab/>
      </w:r>
      <w:r>
        <w:rPr>
          <w:rFonts w:hint="eastAsia" w:ascii="Times New Roman" w:hAnsi="Times New Roman" w:eastAsia="宋体" w:cs="Times New Roman"/>
          <w:kern w:val="2"/>
          <w:sz w:val="28"/>
          <w:szCs w:val="36"/>
          <w:lang w:val="en-US" w:eastAsia="zh-CN" w:bidi="ar-SA"/>
        </w:rPr>
        <w:fldChar w:fldCharType="begin"/>
      </w:r>
      <w:r>
        <w:rPr>
          <w:rFonts w:hint="eastAsia" w:ascii="Times New Roman" w:hAnsi="Times New Roman" w:eastAsia="宋体" w:cs="Times New Roman"/>
          <w:kern w:val="2"/>
          <w:sz w:val="28"/>
          <w:szCs w:val="36"/>
          <w:lang w:val="en-US" w:eastAsia="zh-CN" w:bidi="ar-SA"/>
        </w:rPr>
        <w:instrText xml:space="preserve"> PAGEREF _Toc7435 \h </w:instrText>
      </w:r>
      <w:r>
        <w:rPr>
          <w:rFonts w:hint="eastAsia" w:ascii="Times New Roman" w:hAnsi="Times New Roman" w:eastAsia="宋体" w:cs="Times New Roman"/>
          <w:kern w:val="2"/>
          <w:sz w:val="28"/>
          <w:szCs w:val="36"/>
          <w:lang w:val="en-US" w:eastAsia="zh-CN" w:bidi="ar-SA"/>
        </w:rPr>
        <w:fldChar w:fldCharType="separate"/>
      </w:r>
      <w:r>
        <w:rPr>
          <w:rFonts w:hint="eastAsia" w:ascii="Times New Roman" w:hAnsi="Times New Roman" w:eastAsia="宋体" w:cs="Times New Roman"/>
          <w:kern w:val="2"/>
          <w:sz w:val="28"/>
          <w:szCs w:val="36"/>
          <w:lang w:val="en-US" w:eastAsia="zh-CN" w:bidi="ar-SA"/>
        </w:rPr>
        <w:t>4</w:t>
      </w:r>
      <w:r>
        <w:rPr>
          <w:rFonts w:hint="eastAsia" w:ascii="Times New Roman" w:hAnsi="Times New Roman" w:eastAsia="宋体" w:cs="Times New Roman"/>
          <w:kern w:val="2"/>
          <w:sz w:val="28"/>
          <w:szCs w:val="36"/>
          <w:lang w:val="en-US" w:eastAsia="zh-CN" w:bidi="ar-SA"/>
        </w:rPr>
        <w:fldChar w:fldCharType="end"/>
      </w:r>
      <w:r>
        <w:rPr>
          <w:rFonts w:hint="eastAsia" w:ascii="黑体" w:hAnsi="黑体" w:eastAsia="黑体"/>
          <w:sz w:val="30"/>
          <w:szCs w:val="30"/>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_Toc5702 </w:instrText>
      </w:r>
      <w:r>
        <w:rPr>
          <w:rFonts w:hint="eastAsia" w:ascii="黑体" w:hAnsi="黑体" w:eastAsia="黑体" w:cs="黑体"/>
          <w:sz w:val="28"/>
          <w:szCs w:val="36"/>
        </w:rPr>
        <w:fldChar w:fldCharType="separate"/>
      </w:r>
      <w:r>
        <w:rPr>
          <w:rFonts w:hint="eastAsia" w:ascii="黑体" w:hAnsi="黑体" w:eastAsia="黑体"/>
          <w:sz w:val="28"/>
          <w:szCs w:val="36"/>
        </w:rPr>
        <w:t>一、基</w:t>
      </w:r>
      <w:r>
        <w:rPr>
          <w:rFonts w:hint="eastAsia" w:ascii="黑体" w:hAnsi="黑体" w:eastAsia="黑体"/>
          <w:bCs w:val="0"/>
          <w:sz w:val="28"/>
          <w:szCs w:val="36"/>
        </w:rPr>
        <w:t>本职能及主要工作</w:t>
      </w:r>
      <w:r>
        <w:rPr>
          <w:sz w:val="28"/>
          <w:szCs w:val="36"/>
        </w:rPr>
        <w:tab/>
      </w:r>
      <w:r>
        <w:rPr>
          <w:sz w:val="28"/>
          <w:szCs w:val="36"/>
        </w:rPr>
        <w:fldChar w:fldCharType="begin"/>
      </w:r>
      <w:r>
        <w:rPr>
          <w:sz w:val="28"/>
          <w:szCs w:val="36"/>
        </w:rPr>
        <w:instrText xml:space="preserve"> PAGEREF _Toc5702 \h </w:instrText>
      </w:r>
      <w:r>
        <w:rPr>
          <w:sz w:val="28"/>
          <w:szCs w:val="36"/>
        </w:rPr>
        <w:fldChar w:fldCharType="separate"/>
      </w:r>
      <w:r>
        <w:rPr>
          <w:sz w:val="28"/>
          <w:szCs w:val="36"/>
        </w:rPr>
        <w:t>4</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_Toc9842 </w:instrText>
      </w:r>
      <w:r>
        <w:rPr>
          <w:rFonts w:hint="eastAsia" w:ascii="黑体" w:hAnsi="黑体" w:eastAsia="黑体" w:cs="黑体"/>
          <w:sz w:val="28"/>
          <w:szCs w:val="36"/>
        </w:rPr>
        <w:fldChar w:fldCharType="separate"/>
      </w:r>
      <w:r>
        <w:rPr>
          <w:rFonts w:hint="eastAsia" w:ascii="黑体" w:hAnsi="黑体" w:eastAsia="黑体"/>
          <w:sz w:val="28"/>
          <w:szCs w:val="36"/>
        </w:rPr>
        <w:t>二、机</w:t>
      </w:r>
      <w:r>
        <w:rPr>
          <w:rFonts w:hint="eastAsia" w:ascii="黑体" w:hAnsi="黑体" w:eastAsia="黑体"/>
          <w:bCs w:val="0"/>
          <w:sz w:val="28"/>
          <w:szCs w:val="36"/>
        </w:rPr>
        <w:t>构设置</w:t>
      </w:r>
      <w:r>
        <w:rPr>
          <w:sz w:val="28"/>
          <w:szCs w:val="36"/>
        </w:rPr>
        <w:tab/>
      </w:r>
      <w:r>
        <w:rPr>
          <w:sz w:val="28"/>
          <w:szCs w:val="36"/>
        </w:rPr>
        <w:fldChar w:fldCharType="begin"/>
      </w:r>
      <w:r>
        <w:rPr>
          <w:sz w:val="28"/>
          <w:szCs w:val="36"/>
        </w:rPr>
        <w:instrText xml:space="preserve"> PAGEREF _Toc9842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sz w:val="28"/>
          <w:szCs w:val="36"/>
        </w:rPr>
        <w:fldChar w:fldCharType="end"/>
      </w:r>
    </w:p>
    <w:p>
      <w:pPr>
        <w:pStyle w:val="10"/>
        <w:tabs>
          <w:tab w:val="right" w:leader="dot" w:pos="8306"/>
          <w:tab w:val="clear" w:pos="8296"/>
        </w:tabs>
        <w:rPr>
          <w:rFonts w:hint="eastAsia" w:ascii="黑体" w:hAnsi="黑体" w:eastAsia="黑体"/>
          <w:sz w:val="30"/>
          <w:szCs w:val="30"/>
        </w:rPr>
      </w:pPr>
      <w:r>
        <w:rPr>
          <w:rFonts w:hint="eastAsia" w:ascii="黑体" w:hAnsi="黑体" w:eastAsia="黑体"/>
          <w:sz w:val="30"/>
          <w:szCs w:val="30"/>
        </w:rPr>
        <w:fldChar w:fldCharType="begin"/>
      </w:r>
      <w:r>
        <w:rPr>
          <w:rFonts w:hint="eastAsia" w:ascii="黑体" w:hAnsi="黑体" w:eastAsia="黑体"/>
          <w:sz w:val="30"/>
          <w:szCs w:val="30"/>
        </w:rPr>
        <w:instrText xml:space="preserve"> HYPERLINK \l _Toc25287 </w:instrText>
      </w:r>
      <w:r>
        <w:rPr>
          <w:rFonts w:hint="eastAsia" w:ascii="黑体" w:hAnsi="黑体" w:eastAsia="黑体"/>
          <w:sz w:val="30"/>
          <w:szCs w:val="30"/>
        </w:rPr>
        <w:fldChar w:fldCharType="separate"/>
      </w:r>
      <w:r>
        <w:rPr>
          <w:rFonts w:hint="eastAsia" w:ascii="黑体" w:hAnsi="黑体" w:eastAsia="黑体"/>
          <w:sz w:val="30"/>
          <w:szCs w:val="30"/>
        </w:rPr>
        <w:t>第二部分 单位决算情况说明</w:t>
      </w:r>
      <w:r>
        <w:rPr>
          <w:rFonts w:hint="eastAsia" w:ascii="Times New Roman" w:hAnsi="Times New Roman" w:eastAsia="宋体" w:cs="Times New Roman"/>
          <w:kern w:val="2"/>
          <w:sz w:val="28"/>
          <w:szCs w:val="36"/>
          <w:lang w:val="en-US" w:eastAsia="zh-CN" w:bidi="ar-SA"/>
        </w:rPr>
        <w:tab/>
      </w:r>
      <w:r>
        <w:rPr>
          <w:rFonts w:hint="eastAsia" w:ascii="Times New Roman" w:hAnsi="Times New Roman" w:eastAsia="宋体" w:cs="Times New Roman"/>
          <w:kern w:val="2"/>
          <w:sz w:val="28"/>
          <w:szCs w:val="36"/>
          <w:lang w:val="en-US" w:eastAsia="zh-CN" w:bidi="ar-SA"/>
        </w:rPr>
        <w:fldChar w:fldCharType="begin"/>
      </w:r>
      <w:r>
        <w:rPr>
          <w:rFonts w:hint="eastAsia" w:ascii="Times New Roman" w:hAnsi="Times New Roman" w:eastAsia="宋体" w:cs="Times New Roman"/>
          <w:kern w:val="2"/>
          <w:sz w:val="28"/>
          <w:szCs w:val="36"/>
          <w:lang w:val="en-US" w:eastAsia="zh-CN" w:bidi="ar-SA"/>
        </w:rPr>
        <w:instrText xml:space="preserve"> PAGEREF _Toc25287 \h </w:instrText>
      </w:r>
      <w:r>
        <w:rPr>
          <w:rFonts w:hint="eastAsia" w:ascii="Times New Roman" w:hAnsi="Times New Roman" w:eastAsia="宋体" w:cs="Times New Roman"/>
          <w:kern w:val="2"/>
          <w:sz w:val="28"/>
          <w:szCs w:val="36"/>
          <w:lang w:val="en-US" w:eastAsia="zh-CN" w:bidi="ar-SA"/>
        </w:rPr>
        <w:fldChar w:fldCharType="separate"/>
      </w:r>
      <w:r>
        <w:rPr>
          <w:rFonts w:hint="eastAsia" w:ascii="Times New Roman" w:hAnsi="Times New Roman" w:eastAsia="宋体" w:cs="Times New Roman"/>
          <w:kern w:val="2"/>
          <w:sz w:val="28"/>
          <w:szCs w:val="36"/>
          <w:lang w:val="en-US" w:eastAsia="zh-CN" w:bidi="ar-SA"/>
        </w:rPr>
        <w:t>11</w:t>
      </w:r>
      <w:r>
        <w:rPr>
          <w:rFonts w:hint="eastAsia" w:ascii="Times New Roman" w:hAnsi="Times New Roman" w:eastAsia="宋体" w:cs="Times New Roman"/>
          <w:kern w:val="2"/>
          <w:sz w:val="28"/>
          <w:szCs w:val="36"/>
          <w:lang w:val="en-US" w:eastAsia="zh-CN" w:bidi="ar-SA"/>
        </w:rPr>
        <w:fldChar w:fldCharType="end"/>
      </w:r>
      <w:r>
        <w:rPr>
          <w:rFonts w:hint="eastAsia" w:ascii="黑体" w:hAnsi="黑体" w:eastAsia="黑体"/>
          <w:sz w:val="30"/>
          <w:szCs w:val="30"/>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_Toc1520 </w:instrText>
      </w:r>
      <w:r>
        <w:rPr>
          <w:rFonts w:hint="eastAsia" w:ascii="黑体" w:hAnsi="黑体" w:eastAsia="黑体" w:cs="黑体"/>
          <w:sz w:val="28"/>
          <w:szCs w:val="36"/>
        </w:rPr>
        <w:fldChar w:fldCharType="separate"/>
      </w:r>
      <w:r>
        <w:rPr>
          <w:rFonts w:hint="default" w:ascii="黑体" w:hAnsi="黑体" w:eastAsia="黑体"/>
          <w:sz w:val="28"/>
          <w:szCs w:val="36"/>
        </w:rPr>
        <w:t xml:space="preserve">一、 </w:t>
      </w:r>
      <w:r>
        <w:rPr>
          <w:rFonts w:hint="eastAsia" w:ascii="黑体" w:hAnsi="黑体" w:eastAsia="黑体"/>
          <w:sz w:val="28"/>
          <w:szCs w:val="44"/>
        </w:rPr>
        <w:t>收</w:t>
      </w:r>
      <w:r>
        <w:rPr>
          <w:rFonts w:hint="eastAsia" w:ascii="黑体" w:hAnsi="黑体" w:eastAsia="黑体"/>
          <w:sz w:val="28"/>
          <w:szCs w:val="36"/>
        </w:rPr>
        <w:t>入支出决算总体情况说明</w:t>
      </w:r>
      <w:r>
        <w:rPr>
          <w:sz w:val="28"/>
          <w:szCs w:val="36"/>
        </w:rPr>
        <w:tab/>
      </w:r>
      <w:r>
        <w:rPr>
          <w:sz w:val="28"/>
          <w:szCs w:val="36"/>
        </w:rPr>
        <w:fldChar w:fldCharType="begin"/>
      </w:r>
      <w:r>
        <w:rPr>
          <w:sz w:val="28"/>
          <w:szCs w:val="36"/>
        </w:rPr>
        <w:instrText xml:space="preserve"> PAGEREF _Toc1520 \h </w:instrText>
      </w:r>
      <w:r>
        <w:rPr>
          <w:sz w:val="28"/>
          <w:szCs w:val="36"/>
        </w:rPr>
        <w:fldChar w:fldCharType="separate"/>
      </w:r>
      <w:r>
        <w:rPr>
          <w:sz w:val="28"/>
          <w:szCs w:val="36"/>
        </w:rPr>
        <w:t>11</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_Toc30700 </w:instrText>
      </w:r>
      <w:r>
        <w:rPr>
          <w:rFonts w:hint="eastAsia" w:ascii="黑体" w:hAnsi="黑体" w:eastAsia="黑体" w:cs="黑体"/>
          <w:sz w:val="28"/>
          <w:szCs w:val="36"/>
        </w:rPr>
        <w:fldChar w:fldCharType="separate"/>
      </w:r>
      <w:r>
        <w:rPr>
          <w:rFonts w:hint="default" w:ascii="黑体" w:hAnsi="黑体" w:eastAsia="黑体"/>
          <w:sz w:val="28"/>
          <w:szCs w:val="36"/>
        </w:rPr>
        <w:t xml:space="preserve">二、 </w:t>
      </w:r>
      <w:r>
        <w:rPr>
          <w:rFonts w:hint="eastAsia" w:ascii="黑体" w:hAnsi="黑体" w:eastAsia="黑体"/>
          <w:sz w:val="28"/>
          <w:szCs w:val="44"/>
        </w:rPr>
        <w:t>收</w:t>
      </w:r>
      <w:r>
        <w:rPr>
          <w:rFonts w:hint="eastAsia" w:ascii="黑体" w:hAnsi="黑体" w:eastAsia="黑体"/>
          <w:sz w:val="28"/>
          <w:szCs w:val="36"/>
        </w:rPr>
        <w:t>入决算情况说明</w:t>
      </w:r>
      <w:r>
        <w:rPr>
          <w:sz w:val="28"/>
          <w:szCs w:val="36"/>
        </w:rPr>
        <w:tab/>
      </w:r>
      <w:r>
        <w:rPr>
          <w:sz w:val="28"/>
          <w:szCs w:val="36"/>
        </w:rPr>
        <w:fldChar w:fldCharType="begin"/>
      </w:r>
      <w:r>
        <w:rPr>
          <w:sz w:val="28"/>
          <w:szCs w:val="36"/>
        </w:rPr>
        <w:instrText xml:space="preserve"> PAGEREF _Toc30700 \h </w:instrText>
      </w:r>
      <w:r>
        <w:rPr>
          <w:sz w:val="28"/>
          <w:szCs w:val="36"/>
        </w:rPr>
        <w:fldChar w:fldCharType="separate"/>
      </w:r>
      <w:r>
        <w:rPr>
          <w:sz w:val="28"/>
          <w:szCs w:val="36"/>
        </w:rPr>
        <w:t>11</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_Toc9153 </w:instrText>
      </w:r>
      <w:r>
        <w:rPr>
          <w:rFonts w:hint="eastAsia" w:ascii="黑体" w:hAnsi="黑体" w:eastAsia="黑体" w:cs="黑体"/>
          <w:sz w:val="28"/>
          <w:szCs w:val="36"/>
        </w:rPr>
        <w:fldChar w:fldCharType="separate"/>
      </w:r>
      <w:r>
        <w:rPr>
          <w:rFonts w:hint="default" w:ascii="黑体" w:hAnsi="黑体" w:eastAsia="黑体"/>
          <w:sz w:val="28"/>
          <w:szCs w:val="44"/>
        </w:rPr>
        <w:t xml:space="preserve">三、 </w:t>
      </w:r>
      <w:r>
        <w:rPr>
          <w:rFonts w:hint="eastAsia" w:ascii="黑体" w:hAnsi="黑体" w:eastAsia="黑体"/>
          <w:sz w:val="28"/>
          <w:szCs w:val="44"/>
        </w:rPr>
        <w:t>支出决算情况说明</w:t>
      </w:r>
      <w:r>
        <w:rPr>
          <w:sz w:val="28"/>
          <w:szCs w:val="36"/>
        </w:rPr>
        <w:tab/>
      </w:r>
      <w:r>
        <w:rPr>
          <w:sz w:val="28"/>
          <w:szCs w:val="36"/>
        </w:rPr>
        <w:fldChar w:fldCharType="begin"/>
      </w:r>
      <w:r>
        <w:rPr>
          <w:sz w:val="28"/>
          <w:szCs w:val="36"/>
        </w:rPr>
        <w:instrText xml:space="preserve"> PAGEREF _Toc9153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_Toc7763 </w:instrText>
      </w:r>
      <w:r>
        <w:rPr>
          <w:rFonts w:hint="eastAsia" w:ascii="黑体" w:hAnsi="黑体" w:eastAsia="黑体" w:cs="黑体"/>
          <w:sz w:val="28"/>
          <w:szCs w:val="36"/>
        </w:rPr>
        <w:fldChar w:fldCharType="separate"/>
      </w:r>
      <w:r>
        <w:rPr>
          <w:rFonts w:hint="eastAsia" w:ascii="黑体" w:hAnsi="黑体" w:eastAsia="黑体"/>
          <w:sz w:val="28"/>
          <w:szCs w:val="44"/>
        </w:rPr>
        <w:t>四、财</w:t>
      </w:r>
      <w:r>
        <w:rPr>
          <w:rFonts w:hint="eastAsia" w:ascii="黑体" w:hAnsi="黑体" w:eastAsia="黑体"/>
          <w:sz w:val="28"/>
          <w:szCs w:val="36"/>
        </w:rPr>
        <w:t>政拨款收入支出决算总体情况说明</w:t>
      </w:r>
      <w:r>
        <w:rPr>
          <w:sz w:val="28"/>
          <w:szCs w:val="36"/>
        </w:rPr>
        <w:tab/>
      </w:r>
      <w:r>
        <w:rPr>
          <w:sz w:val="28"/>
          <w:szCs w:val="36"/>
        </w:rPr>
        <w:fldChar w:fldCharType="begin"/>
      </w:r>
      <w:r>
        <w:rPr>
          <w:sz w:val="28"/>
          <w:szCs w:val="36"/>
        </w:rPr>
        <w:instrText xml:space="preserve"> PAGEREF _Toc7763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_Toc27160 </w:instrText>
      </w:r>
      <w:r>
        <w:rPr>
          <w:rFonts w:hint="eastAsia" w:ascii="黑体" w:hAnsi="黑体" w:eastAsia="黑体" w:cs="黑体"/>
          <w:sz w:val="28"/>
          <w:szCs w:val="36"/>
        </w:rPr>
        <w:fldChar w:fldCharType="separate"/>
      </w:r>
      <w:r>
        <w:rPr>
          <w:rFonts w:hint="eastAsia" w:ascii="黑体" w:hAnsi="黑体" w:eastAsia="黑体"/>
          <w:sz w:val="28"/>
          <w:szCs w:val="44"/>
        </w:rPr>
        <w:t>五、一</w:t>
      </w:r>
      <w:r>
        <w:rPr>
          <w:rFonts w:hint="eastAsia" w:ascii="黑体" w:hAnsi="黑体" w:eastAsia="黑体"/>
          <w:sz w:val="28"/>
          <w:szCs w:val="36"/>
        </w:rPr>
        <w:t>般公共预算财政拨款支出决算情况说明</w:t>
      </w:r>
      <w:r>
        <w:rPr>
          <w:sz w:val="28"/>
          <w:szCs w:val="36"/>
        </w:rPr>
        <w:tab/>
      </w:r>
      <w:r>
        <w:rPr>
          <w:sz w:val="28"/>
          <w:szCs w:val="36"/>
        </w:rPr>
        <w:fldChar w:fldCharType="begin"/>
      </w:r>
      <w:r>
        <w:rPr>
          <w:sz w:val="28"/>
          <w:szCs w:val="36"/>
        </w:rPr>
        <w:instrText xml:space="preserve"> PAGEREF _Toc27160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_Toc29514 </w:instrText>
      </w:r>
      <w:r>
        <w:rPr>
          <w:rFonts w:hint="eastAsia" w:ascii="黑体" w:hAnsi="黑体" w:eastAsia="黑体" w:cs="黑体"/>
          <w:sz w:val="28"/>
          <w:szCs w:val="36"/>
        </w:rPr>
        <w:fldChar w:fldCharType="separate"/>
      </w:r>
      <w:r>
        <w:rPr>
          <w:rFonts w:hint="eastAsia" w:ascii="黑体" w:eastAsia="黑体"/>
          <w:sz w:val="28"/>
          <w:szCs w:val="44"/>
        </w:rPr>
        <w:t>六、</w:t>
      </w:r>
      <w:r>
        <w:rPr>
          <w:rFonts w:hint="eastAsia" w:ascii="黑体" w:hAnsi="黑体" w:eastAsia="黑体"/>
          <w:sz w:val="28"/>
          <w:szCs w:val="44"/>
        </w:rPr>
        <w:t>一</w:t>
      </w:r>
      <w:r>
        <w:rPr>
          <w:rFonts w:hint="eastAsia" w:ascii="黑体" w:hAnsi="黑体" w:eastAsia="黑体"/>
          <w:sz w:val="28"/>
          <w:szCs w:val="36"/>
        </w:rPr>
        <w:t>般公共预算财政拨款基本支出决算情况说明</w:t>
      </w:r>
      <w:r>
        <w:rPr>
          <w:sz w:val="28"/>
          <w:szCs w:val="36"/>
        </w:rPr>
        <w:tab/>
      </w:r>
      <w:r>
        <w:rPr>
          <w:sz w:val="28"/>
          <w:szCs w:val="36"/>
        </w:rPr>
        <w:fldChar w:fldCharType="begin"/>
      </w:r>
      <w:r>
        <w:rPr>
          <w:sz w:val="28"/>
          <w:szCs w:val="36"/>
        </w:rPr>
        <w:instrText xml:space="preserve"> PAGEREF _Toc29514 \h </w:instrText>
      </w:r>
      <w:r>
        <w:rPr>
          <w:sz w:val="28"/>
          <w:szCs w:val="36"/>
        </w:rPr>
        <w:fldChar w:fldCharType="separate"/>
      </w:r>
      <w:r>
        <w:rPr>
          <w:sz w:val="28"/>
          <w:szCs w:val="36"/>
        </w:rPr>
        <w:t>18</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_Toc30053 </w:instrText>
      </w:r>
      <w:r>
        <w:rPr>
          <w:rFonts w:hint="eastAsia" w:ascii="黑体" w:hAnsi="黑体" w:eastAsia="黑体" w:cs="黑体"/>
          <w:sz w:val="28"/>
          <w:szCs w:val="36"/>
        </w:rPr>
        <w:fldChar w:fldCharType="separate"/>
      </w:r>
      <w:r>
        <w:rPr>
          <w:rFonts w:hint="eastAsia" w:ascii="黑体" w:eastAsia="黑体"/>
          <w:sz w:val="28"/>
          <w:szCs w:val="44"/>
          <w:lang w:eastAsia="zh-CN"/>
        </w:rPr>
        <w:t>七、一般公共预算财政拨款项目支出决算情况说明</w:t>
      </w:r>
      <w:r>
        <w:rPr>
          <w:sz w:val="28"/>
          <w:szCs w:val="36"/>
        </w:rPr>
        <w:tab/>
      </w:r>
      <w:r>
        <w:rPr>
          <w:sz w:val="28"/>
          <w:szCs w:val="36"/>
        </w:rPr>
        <w:fldChar w:fldCharType="begin"/>
      </w:r>
      <w:r>
        <w:rPr>
          <w:sz w:val="28"/>
          <w:szCs w:val="36"/>
        </w:rPr>
        <w:instrText xml:space="preserve"> PAGEREF _Toc30053 \h </w:instrText>
      </w:r>
      <w:r>
        <w:rPr>
          <w:sz w:val="28"/>
          <w:szCs w:val="36"/>
        </w:rPr>
        <w:fldChar w:fldCharType="separate"/>
      </w:r>
      <w:r>
        <w:rPr>
          <w:sz w:val="28"/>
          <w:szCs w:val="36"/>
        </w:rPr>
        <w:t>19</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_Toc11372 </w:instrText>
      </w:r>
      <w:r>
        <w:rPr>
          <w:rFonts w:hint="eastAsia" w:ascii="黑体" w:hAnsi="黑体" w:eastAsia="黑体" w:cs="黑体"/>
          <w:sz w:val="28"/>
          <w:szCs w:val="36"/>
        </w:rPr>
        <w:fldChar w:fldCharType="separate"/>
      </w:r>
      <w:r>
        <w:rPr>
          <w:rFonts w:hint="eastAsia" w:ascii="黑体" w:eastAsia="黑体"/>
          <w:sz w:val="28"/>
          <w:szCs w:val="44"/>
          <w:lang w:eastAsia="zh-CN"/>
        </w:rPr>
        <w:t>八</w:t>
      </w:r>
      <w:r>
        <w:rPr>
          <w:rFonts w:hint="eastAsia" w:ascii="黑体" w:eastAsia="黑体"/>
          <w:sz w:val="28"/>
          <w:szCs w:val="44"/>
        </w:rPr>
        <w:t>、</w:t>
      </w:r>
      <w:r>
        <w:rPr>
          <w:rFonts w:hint="eastAsia" w:ascii="黑体" w:hAnsi="黑体" w:eastAsia="黑体"/>
          <w:sz w:val="28"/>
          <w:szCs w:val="36"/>
        </w:rPr>
        <w:t>“三公”经费财政拨款支出决算情况说明</w:t>
      </w:r>
      <w:r>
        <w:rPr>
          <w:sz w:val="28"/>
          <w:szCs w:val="36"/>
        </w:rPr>
        <w:tab/>
      </w:r>
      <w:r>
        <w:rPr>
          <w:sz w:val="28"/>
          <w:szCs w:val="36"/>
        </w:rPr>
        <w:fldChar w:fldCharType="begin"/>
      </w:r>
      <w:r>
        <w:rPr>
          <w:sz w:val="28"/>
          <w:szCs w:val="36"/>
        </w:rPr>
        <w:instrText xml:space="preserve"> PAGEREF _Toc11372 \h </w:instrText>
      </w:r>
      <w:r>
        <w:rPr>
          <w:sz w:val="28"/>
          <w:szCs w:val="36"/>
        </w:rPr>
        <w:fldChar w:fldCharType="separate"/>
      </w:r>
      <w:r>
        <w:rPr>
          <w:sz w:val="28"/>
          <w:szCs w:val="36"/>
        </w:rPr>
        <w:t>19</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_Toc19456 </w:instrText>
      </w:r>
      <w:r>
        <w:rPr>
          <w:rFonts w:hint="eastAsia" w:ascii="黑体" w:hAnsi="黑体" w:eastAsia="黑体" w:cs="黑体"/>
          <w:sz w:val="28"/>
          <w:szCs w:val="36"/>
        </w:rPr>
        <w:fldChar w:fldCharType="separate"/>
      </w:r>
      <w:r>
        <w:rPr>
          <w:rFonts w:hint="eastAsia" w:ascii="黑体" w:eastAsia="黑体"/>
          <w:sz w:val="28"/>
          <w:szCs w:val="44"/>
          <w:lang w:eastAsia="zh-CN"/>
        </w:rPr>
        <w:t>九</w:t>
      </w:r>
      <w:r>
        <w:rPr>
          <w:rFonts w:hint="eastAsia" w:ascii="黑体" w:eastAsia="黑体"/>
          <w:sz w:val="28"/>
          <w:szCs w:val="44"/>
        </w:rPr>
        <w:t>、</w:t>
      </w:r>
      <w:r>
        <w:rPr>
          <w:rFonts w:hint="eastAsia" w:ascii="黑体" w:hAnsi="黑体" w:eastAsia="黑体"/>
          <w:sz w:val="28"/>
          <w:szCs w:val="36"/>
        </w:rPr>
        <w:t>政府性基金预算支出决算情况说明</w:t>
      </w:r>
      <w:r>
        <w:rPr>
          <w:sz w:val="28"/>
          <w:szCs w:val="36"/>
        </w:rPr>
        <w:tab/>
      </w:r>
      <w:r>
        <w:rPr>
          <w:sz w:val="28"/>
          <w:szCs w:val="36"/>
        </w:rPr>
        <w:fldChar w:fldCharType="begin"/>
      </w:r>
      <w:r>
        <w:rPr>
          <w:sz w:val="28"/>
          <w:szCs w:val="36"/>
        </w:rPr>
        <w:instrText xml:space="preserve"> PAGEREF _Toc19456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_Toc26935 </w:instrText>
      </w:r>
      <w:r>
        <w:rPr>
          <w:rFonts w:hint="eastAsia" w:ascii="黑体" w:hAnsi="黑体" w:eastAsia="黑体" w:cs="黑体"/>
          <w:sz w:val="28"/>
          <w:szCs w:val="36"/>
        </w:rPr>
        <w:fldChar w:fldCharType="separate"/>
      </w:r>
      <w:r>
        <w:rPr>
          <w:rFonts w:hint="eastAsia" w:ascii="黑体" w:eastAsia="黑体"/>
          <w:sz w:val="28"/>
          <w:szCs w:val="44"/>
          <w:lang w:eastAsia="zh-CN"/>
        </w:rPr>
        <w:t>十、国有资本经营预算支出决算情况说明</w:t>
      </w:r>
      <w:r>
        <w:rPr>
          <w:sz w:val="28"/>
          <w:szCs w:val="36"/>
        </w:rPr>
        <w:tab/>
      </w:r>
      <w:r>
        <w:rPr>
          <w:sz w:val="28"/>
          <w:szCs w:val="36"/>
        </w:rPr>
        <w:fldChar w:fldCharType="begin"/>
      </w:r>
      <w:r>
        <w:rPr>
          <w:sz w:val="28"/>
          <w:szCs w:val="36"/>
        </w:rPr>
        <w:instrText xml:space="preserve"> PAGEREF _Toc26935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_Toc32746 </w:instrText>
      </w:r>
      <w:r>
        <w:rPr>
          <w:rFonts w:hint="eastAsia" w:ascii="黑体" w:hAnsi="黑体" w:eastAsia="黑体" w:cs="黑体"/>
          <w:sz w:val="28"/>
          <w:szCs w:val="36"/>
        </w:rPr>
        <w:fldChar w:fldCharType="separate"/>
      </w:r>
      <w:r>
        <w:rPr>
          <w:rFonts w:hint="eastAsia" w:ascii="黑体" w:eastAsia="黑体"/>
          <w:sz w:val="28"/>
          <w:szCs w:val="44"/>
          <w:lang w:eastAsia="zh-CN"/>
        </w:rPr>
        <w:t>十一、其他重要事项的情况说明</w:t>
      </w:r>
      <w:r>
        <w:rPr>
          <w:sz w:val="28"/>
          <w:szCs w:val="36"/>
        </w:rPr>
        <w:tab/>
      </w:r>
      <w:r>
        <w:rPr>
          <w:sz w:val="28"/>
          <w:szCs w:val="36"/>
        </w:rPr>
        <w:fldChar w:fldCharType="begin"/>
      </w:r>
      <w:r>
        <w:rPr>
          <w:sz w:val="28"/>
          <w:szCs w:val="36"/>
        </w:rPr>
        <w:instrText xml:space="preserve"> PAGEREF _Toc32746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sz w:val="28"/>
          <w:szCs w:val="36"/>
        </w:rPr>
        <w:fldChar w:fldCharType="end"/>
      </w:r>
    </w:p>
    <w:p>
      <w:pPr>
        <w:pStyle w:val="10"/>
        <w:tabs>
          <w:tab w:val="right" w:leader="dot" w:pos="8306"/>
          <w:tab w:val="clear" w:pos="8296"/>
        </w:tabs>
        <w:rPr>
          <w:sz w:val="40"/>
          <w:szCs w:val="40"/>
        </w:rPr>
      </w:pPr>
      <w:r>
        <w:rPr>
          <w:rFonts w:hint="eastAsia" w:ascii="黑体" w:hAnsi="黑体" w:eastAsia="黑体" w:cs="黑体"/>
          <w:sz w:val="40"/>
          <w:szCs w:val="40"/>
        </w:rPr>
        <w:fldChar w:fldCharType="begin"/>
      </w:r>
      <w:r>
        <w:rPr>
          <w:rFonts w:hint="eastAsia" w:ascii="黑体" w:hAnsi="黑体" w:eastAsia="黑体" w:cs="黑体"/>
          <w:sz w:val="40"/>
          <w:szCs w:val="40"/>
        </w:rPr>
        <w:instrText xml:space="preserve"> HYPERLINK \l _Toc2620 </w:instrText>
      </w:r>
      <w:r>
        <w:rPr>
          <w:rFonts w:hint="eastAsia" w:ascii="黑体" w:hAnsi="黑体" w:eastAsia="黑体" w:cs="黑体"/>
          <w:sz w:val="40"/>
          <w:szCs w:val="40"/>
        </w:rPr>
        <w:fldChar w:fldCharType="separate"/>
      </w:r>
      <w:r>
        <w:rPr>
          <w:rFonts w:hint="eastAsia" w:ascii="黑体" w:hAnsi="黑体" w:eastAsia="黑体"/>
          <w:sz w:val="30"/>
          <w:szCs w:val="30"/>
        </w:rPr>
        <w:t>第三部分 名词解释</w:t>
      </w:r>
      <w:r>
        <w:rPr>
          <w:rFonts w:ascii="Times New Roman" w:hAnsi="Times New Roman" w:eastAsia="宋体" w:cs="Times New Roman"/>
          <w:kern w:val="2"/>
          <w:sz w:val="28"/>
          <w:szCs w:val="36"/>
          <w:lang w:val="en-US" w:eastAsia="zh-CN" w:bidi="ar-SA"/>
        </w:rPr>
        <w:tab/>
      </w:r>
      <w:r>
        <w:rPr>
          <w:rFonts w:ascii="Times New Roman" w:hAnsi="Times New Roman" w:eastAsia="宋体" w:cs="Times New Roman"/>
          <w:kern w:val="2"/>
          <w:sz w:val="28"/>
          <w:szCs w:val="36"/>
          <w:lang w:val="en-US" w:eastAsia="zh-CN" w:bidi="ar-SA"/>
        </w:rPr>
        <w:fldChar w:fldCharType="begin"/>
      </w:r>
      <w:r>
        <w:rPr>
          <w:rFonts w:ascii="Times New Roman" w:hAnsi="Times New Roman" w:eastAsia="宋体" w:cs="Times New Roman"/>
          <w:kern w:val="2"/>
          <w:sz w:val="28"/>
          <w:szCs w:val="36"/>
          <w:lang w:val="en-US" w:eastAsia="zh-CN" w:bidi="ar-SA"/>
        </w:rPr>
        <w:instrText xml:space="preserve"> PAGEREF _Toc2620 \h </w:instrText>
      </w:r>
      <w:r>
        <w:rPr>
          <w:rFonts w:ascii="Times New Roman" w:hAnsi="Times New Roman" w:eastAsia="宋体" w:cs="Times New Roman"/>
          <w:kern w:val="2"/>
          <w:sz w:val="28"/>
          <w:szCs w:val="36"/>
          <w:lang w:val="en-US" w:eastAsia="zh-CN" w:bidi="ar-SA"/>
        </w:rPr>
        <w:fldChar w:fldCharType="separate"/>
      </w:r>
      <w:r>
        <w:rPr>
          <w:rFonts w:ascii="Times New Roman" w:hAnsi="Times New Roman" w:eastAsia="宋体" w:cs="Times New Roman"/>
          <w:kern w:val="2"/>
          <w:sz w:val="28"/>
          <w:szCs w:val="36"/>
          <w:lang w:val="en-US" w:eastAsia="zh-CN" w:bidi="ar-SA"/>
        </w:rPr>
        <w:t>42</w:t>
      </w:r>
      <w:r>
        <w:rPr>
          <w:rFonts w:ascii="Times New Roman" w:hAnsi="Times New Roman" w:eastAsia="宋体" w:cs="Times New Roman"/>
          <w:kern w:val="2"/>
          <w:sz w:val="28"/>
          <w:szCs w:val="36"/>
          <w:lang w:val="en-US" w:eastAsia="zh-CN" w:bidi="ar-SA"/>
        </w:rPr>
        <w:fldChar w:fldCharType="end"/>
      </w:r>
      <w:r>
        <w:rPr>
          <w:rFonts w:hint="eastAsia" w:ascii="黑体" w:hAnsi="黑体" w:eastAsia="黑体" w:cs="黑体"/>
          <w:sz w:val="40"/>
          <w:szCs w:val="40"/>
        </w:rPr>
        <w:fldChar w:fldCharType="end"/>
      </w:r>
    </w:p>
    <w:p>
      <w:pPr>
        <w:pStyle w:val="10"/>
        <w:tabs>
          <w:tab w:val="right" w:leader="dot" w:pos="8306"/>
          <w:tab w:val="clear" w:pos="8296"/>
        </w:tabs>
        <w:rPr>
          <w:sz w:val="40"/>
          <w:szCs w:val="40"/>
        </w:rPr>
      </w:pPr>
      <w:r>
        <w:rPr>
          <w:rFonts w:hint="eastAsia" w:ascii="黑体" w:hAnsi="黑体" w:eastAsia="黑体" w:cs="黑体"/>
          <w:sz w:val="40"/>
          <w:szCs w:val="40"/>
        </w:rPr>
        <w:fldChar w:fldCharType="begin"/>
      </w:r>
      <w:r>
        <w:rPr>
          <w:rFonts w:hint="eastAsia" w:ascii="黑体" w:hAnsi="黑体" w:eastAsia="黑体" w:cs="黑体"/>
          <w:sz w:val="40"/>
          <w:szCs w:val="40"/>
        </w:rPr>
        <w:instrText xml:space="preserve"> HYPERLINK \l _Toc29626 </w:instrText>
      </w:r>
      <w:r>
        <w:rPr>
          <w:rFonts w:hint="eastAsia" w:ascii="黑体" w:hAnsi="黑体" w:eastAsia="黑体" w:cs="黑体"/>
          <w:sz w:val="40"/>
          <w:szCs w:val="40"/>
        </w:rPr>
        <w:fldChar w:fldCharType="separate"/>
      </w:r>
      <w:r>
        <w:rPr>
          <w:rFonts w:hint="eastAsia" w:ascii="黑体" w:hAnsi="黑体" w:eastAsia="黑体"/>
          <w:sz w:val="30"/>
          <w:szCs w:val="30"/>
        </w:rPr>
        <w:t>第四部分 附件</w:t>
      </w:r>
      <w:r>
        <w:rPr>
          <w:rFonts w:ascii="Times New Roman" w:hAnsi="Times New Roman" w:eastAsia="宋体" w:cs="Times New Roman"/>
          <w:kern w:val="2"/>
          <w:sz w:val="28"/>
          <w:szCs w:val="36"/>
          <w:lang w:val="en-US" w:eastAsia="zh-CN" w:bidi="ar-SA"/>
        </w:rPr>
        <w:tab/>
      </w:r>
      <w:r>
        <w:rPr>
          <w:rFonts w:ascii="Times New Roman" w:hAnsi="Times New Roman" w:eastAsia="宋体" w:cs="Times New Roman"/>
          <w:kern w:val="2"/>
          <w:sz w:val="28"/>
          <w:szCs w:val="36"/>
          <w:lang w:val="en-US" w:eastAsia="zh-CN" w:bidi="ar-SA"/>
        </w:rPr>
        <w:fldChar w:fldCharType="begin"/>
      </w:r>
      <w:r>
        <w:rPr>
          <w:rFonts w:ascii="Times New Roman" w:hAnsi="Times New Roman" w:eastAsia="宋体" w:cs="Times New Roman"/>
          <w:kern w:val="2"/>
          <w:sz w:val="28"/>
          <w:szCs w:val="36"/>
          <w:lang w:val="en-US" w:eastAsia="zh-CN" w:bidi="ar-SA"/>
        </w:rPr>
        <w:instrText xml:space="preserve"> PAGEREF _Toc29626 \h </w:instrText>
      </w:r>
      <w:r>
        <w:rPr>
          <w:rFonts w:ascii="Times New Roman" w:hAnsi="Times New Roman" w:eastAsia="宋体" w:cs="Times New Roman"/>
          <w:kern w:val="2"/>
          <w:sz w:val="28"/>
          <w:szCs w:val="36"/>
          <w:lang w:val="en-US" w:eastAsia="zh-CN" w:bidi="ar-SA"/>
        </w:rPr>
        <w:fldChar w:fldCharType="separate"/>
      </w:r>
      <w:r>
        <w:rPr>
          <w:rFonts w:ascii="Times New Roman" w:hAnsi="Times New Roman" w:eastAsia="宋体" w:cs="Times New Roman"/>
          <w:kern w:val="2"/>
          <w:sz w:val="28"/>
          <w:szCs w:val="36"/>
          <w:lang w:val="en-US" w:eastAsia="zh-CN" w:bidi="ar-SA"/>
        </w:rPr>
        <w:t>46</w:t>
      </w:r>
      <w:r>
        <w:rPr>
          <w:rFonts w:ascii="Times New Roman" w:hAnsi="Times New Roman" w:eastAsia="宋体" w:cs="Times New Roman"/>
          <w:kern w:val="2"/>
          <w:sz w:val="28"/>
          <w:szCs w:val="36"/>
          <w:lang w:val="en-US" w:eastAsia="zh-CN" w:bidi="ar-SA"/>
        </w:rPr>
        <w:fldChar w:fldCharType="end"/>
      </w:r>
      <w:r>
        <w:rPr>
          <w:rFonts w:hint="eastAsia" w:ascii="黑体" w:hAnsi="黑体" w:eastAsia="黑体" w:cs="黑体"/>
          <w:sz w:val="40"/>
          <w:szCs w:val="40"/>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_Toc723 </w:instrText>
      </w:r>
      <w:r>
        <w:rPr>
          <w:rFonts w:hint="eastAsia" w:ascii="黑体" w:hAnsi="黑体" w:eastAsia="黑体" w:cs="黑体"/>
          <w:sz w:val="28"/>
          <w:szCs w:val="36"/>
        </w:rPr>
        <w:fldChar w:fldCharType="separate"/>
      </w:r>
      <w:r>
        <w:rPr>
          <w:rFonts w:hint="eastAsia" w:ascii="黑体" w:hAnsi="黑体" w:eastAsia="黑体" w:cs="Times New Roman"/>
          <w:sz w:val="28"/>
          <w:szCs w:val="44"/>
        </w:rPr>
        <w:t>附件</w:t>
      </w:r>
      <w:r>
        <w:rPr>
          <w:rFonts w:hint="eastAsia" w:ascii="黑体" w:hAnsi="黑体" w:eastAsia="黑体" w:cs="Times New Roman"/>
          <w:sz w:val="28"/>
          <w:szCs w:val="44"/>
          <w:lang w:val="en-US" w:eastAsia="zh-CN"/>
        </w:rPr>
        <w:t>1</w:t>
      </w:r>
      <w:r>
        <w:rPr>
          <w:sz w:val="28"/>
          <w:szCs w:val="36"/>
        </w:rPr>
        <w:tab/>
      </w:r>
      <w:r>
        <w:rPr>
          <w:sz w:val="28"/>
          <w:szCs w:val="36"/>
        </w:rPr>
        <w:fldChar w:fldCharType="begin"/>
      </w:r>
      <w:r>
        <w:rPr>
          <w:sz w:val="28"/>
          <w:szCs w:val="36"/>
        </w:rPr>
        <w:instrText xml:space="preserve"> PAGEREF _Toc723 \h </w:instrText>
      </w:r>
      <w:r>
        <w:rPr>
          <w:sz w:val="28"/>
          <w:szCs w:val="36"/>
        </w:rPr>
        <w:fldChar w:fldCharType="separate"/>
      </w:r>
      <w:r>
        <w:rPr>
          <w:sz w:val="28"/>
          <w:szCs w:val="36"/>
        </w:rPr>
        <w:t>46</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_Toc1024 </w:instrText>
      </w:r>
      <w:r>
        <w:rPr>
          <w:rFonts w:hint="eastAsia" w:ascii="黑体" w:hAnsi="黑体" w:eastAsia="黑体" w:cs="黑体"/>
          <w:sz w:val="28"/>
          <w:szCs w:val="36"/>
        </w:rPr>
        <w:fldChar w:fldCharType="separate"/>
      </w:r>
      <w:r>
        <w:rPr>
          <w:rFonts w:hint="eastAsia" w:ascii="黑体" w:hAnsi="黑体" w:eastAsia="黑体" w:cs="Times New Roman"/>
          <w:sz w:val="28"/>
          <w:szCs w:val="44"/>
          <w:lang w:val="zh-CN"/>
        </w:rPr>
        <w:t>附件</w:t>
      </w:r>
      <w:r>
        <w:rPr>
          <w:rFonts w:hint="eastAsia" w:ascii="黑体" w:hAnsi="黑体" w:eastAsia="黑体" w:cs="Times New Roman"/>
          <w:sz w:val="28"/>
          <w:szCs w:val="44"/>
          <w:lang w:val="en-US" w:eastAsia="zh-CN"/>
        </w:rPr>
        <w:t>2</w:t>
      </w:r>
      <w:r>
        <w:rPr>
          <w:sz w:val="28"/>
          <w:szCs w:val="36"/>
        </w:rPr>
        <w:tab/>
      </w:r>
      <w:r>
        <w:rPr>
          <w:sz w:val="28"/>
          <w:szCs w:val="36"/>
        </w:rPr>
        <w:fldChar w:fldCharType="begin"/>
      </w:r>
      <w:r>
        <w:rPr>
          <w:sz w:val="28"/>
          <w:szCs w:val="36"/>
        </w:rPr>
        <w:instrText xml:space="preserve"> PAGEREF _Toc1024 \h </w:instrText>
      </w:r>
      <w:r>
        <w:rPr>
          <w:sz w:val="28"/>
          <w:szCs w:val="36"/>
        </w:rPr>
        <w:fldChar w:fldCharType="separate"/>
      </w:r>
      <w:r>
        <w:rPr>
          <w:sz w:val="28"/>
          <w:szCs w:val="36"/>
        </w:rPr>
        <w:t>55</w:t>
      </w:r>
      <w:r>
        <w:rPr>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_Toc384 </w:instrText>
      </w:r>
      <w:r>
        <w:rPr>
          <w:rFonts w:hint="eastAsia" w:ascii="黑体" w:hAnsi="黑体" w:eastAsia="黑体" w:cs="黑体"/>
          <w:sz w:val="28"/>
          <w:szCs w:val="36"/>
        </w:rPr>
        <w:fldChar w:fldCharType="separate"/>
      </w:r>
      <w:r>
        <w:rPr>
          <w:rFonts w:hint="eastAsia" w:ascii="黑体" w:hAnsi="黑体" w:eastAsia="黑体" w:cs="Times New Roman"/>
          <w:sz w:val="28"/>
          <w:szCs w:val="44"/>
          <w:lang w:val="zh-CN"/>
        </w:rPr>
        <w:t>附件</w:t>
      </w:r>
      <w:r>
        <w:rPr>
          <w:rFonts w:hint="eastAsia" w:ascii="黑体" w:hAnsi="黑体" w:eastAsia="黑体" w:cs="Times New Roman"/>
          <w:sz w:val="28"/>
          <w:szCs w:val="44"/>
          <w:lang w:val="en-US" w:eastAsia="zh-CN"/>
        </w:rPr>
        <w:t>3</w:t>
      </w:r>
      <w:r>
        <w:rPr>
          <w:sz w:val="28"/>
          <w:szCs w:val="36"/>
        </w:rPr>
        <w:tab/>
      </w:r>
      <w:r>
        <w:rPr>
          <w:sz w:val="28"/>
          <w:szCs w:val="36"/>
        </w:rPr>
        <w:fldChar w:fldCharType="begin"/>
      </w:r>
      <w:r>
        <w:rPr>
          <w:sz w:val="28"/>
          <w:szCs w:val="36"/>
        </w:rPr>
        <w:instrText xml:space="preserve"> PAGEREF _Toc384 \h </w:instrText>
      </w:r>
      <w:r>
        <w:rPr>
          <w:sz w:val="28"/>
          <w:szCs w:val="36"/>
        </w:rPr>
        <w:fldChar w:fldCharType="separate"/>
      </w:r>
      <w:r>
        <w:rPr>
          <w:sz w:val="28"/>
          <w:szCs w:val="36"/>
        </w:rPr>
        <w:t>129</w:t>
      </w:r>
      <w:r>
        <w:rPr>
          <w:sz w:val="28"/>
          <w:szCs w:val="36"/>
        </w:rPr>
        <w:fldChar w:fldCharType="end"/>
      </w:r>
      <w:r>
        <w:rPr>
          <w:rFonts w:hint="eastAsia" w:ascii="黑体" w:hAnsi="黑体" w:eastAsia="黑体" w:cs="黑体"/>
          <w:sz w:val="28"/>
          <w:szCs w:val="36"/>
        </w:rPr>
        <w:fldChar w:fldCharType="end"/>
      </w:r>
    </w:p>
    <w:p>
      <w:pPr>
        <w:pStyle w:val="10"/>
        <w:tabs>
          <w:tab w:val="right" w:leader="dot" w:pos="8306"/>
          <w:tab w:val="clear" w:pos="8296"/>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_Toc8346 </w:instrText>
      </w:r>
      <w:r>
        <w:rPr>
          <w:rFonts w:hint="eastAsia" w:ascii="黑体" w:hAnsi="黑体" w:eastAsia="黑体" w:cs="黑体"/>
          <w:sz w:val="30"/>
          <w:szCs w:val="30"/>
        </w:rPr>
        <w:fldChar w:fldCharType="separate"/>
      </w:r>
      <w:r>
        <w:rPr>
          <w:rFonts w:hint="eastAsia" w:ascii="黑体" w:hAnsi="黑体" w:eastAsia="黑体"/>
          <w:sz w:val="30"/>
          <w:szCs w:val="30"/>
        </w:rPr>
        <w:t>第五部分 附表</w:t>
      </w:r>
      <w:r>
        <w:rPr>
          <w:rFonts w:ascii="Times New Roman" w:hAnsi="Times New Roman" w:eastAsia="宋体" w:cs="Times New Roman"/>
          <w:kern w:val="2"/>
          <w:sz w:val="28"/>
          <w:szCs w:val="36"/>
          <w:lang w:val="en-US" w:eastAsia="zh-CN" w:bidi="ar-SA"/>
        </w:rPr>
        <w:tab/>
      </w:r>
      <w:r>
        <w:rPr>
          <w:sz w:val="30"/>
          <w:szCs w:val="30"/>
        </w:rPr>
        <w:fldChar w:fldCharType="begin"/>
      </w:r>
      <w:r>
        <w:rPr>
          <w:sz w:val="30"/>
          <w:szCs w:val="30"/>
        </w:rPr>
        <w:instrText xml:space="preserve"> PAGEREF _Toc8346 \h </w:instrText>
      </w:r>
      <w:r>
        <w:rPr>
          <w:sz w:val="30"/>
          <w:szCs w:val="30"/>
        </w:rPr>
        <w:fldChar w:fldCharType="separate"/>
      </w:r>
      <w:r>
        <w:rPr>
          <w:sz w:val="30"/>
          <w:szCs w:val="30"/>
        </w:rPr>
        <w:t>146</w:t>
      </w:r>
      <w:r>
        <w:rPr>
          <w:sz w:val="30"/>
          <w:szCs w:val="30"/>
        </w:rPr>
        <w:fldChar w:fldCharType="end"/>
      </w:r>
      <w:r>
        <w:rPr>
          <w:rFonts w:hint="eastAsia" w:ascii="黑体" w:hAnsi="黑体" w:eastAsia="黑体" w:cs="黑体"/>
          <w:sz w:val="30"/>
          <w:szCs w:val="30"/>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_Toc27754 </w:instrText>
      </w:r>
      <w:r>
        <w:rPr>
          <w:rFonts w:hint="eastAsia" w:ascii="黑体" w:hAnsi="黑体" w:eastAsia="黑体" w:cs="黑体"/>
          <w:sz w:val="28"/>
          <w:szCs w:val="36"/>
        </w:rPr>
        <w:fldChar w:fldCharType="separate"/>
      </w:r>
      <w:r>
        <w:rPr>
          <w:rFonts w:hint="eastAsia" w:ascii="黑体" w:hAnsi="黑体" w:eastAsia="黑体" w:cs="黑体"/>
          <w:sz w:val="28"/>
          <w:szCs w:val="36"/>
        </w:rPr>
        <w:t>一、收</w:t>
      </w:r>
      <w:r>
        <w:rPr>
          <w:rFonts w:hint="eastAsia" w:ascii="黑体" w:hAnsi="黑体" w:eastAsia="黑体" w:cs="黑体"/>
          <w:bCs w:val="0"/>
          <w:sz w:val="28"/>
          <w:szCs w:val="36"/>
        </w:rPr>
        <w:t>入支出决算总表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_Toc27754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_Toc32208 </w:instrText>
      </w:r>
      <w:r>
        <w:rPr>
          <w:rFonts w:hint="eastAsia" w:ascii="黑体" w:hAnsi="黑体" w:eastAsia="黑体" w:cs="黑体"/>
          <w:sz w:val="28"/>
          <w:szCs w:val="36"/>
        </w:rPr>
        <w:fldChar w:fldCharType="separate"/>
      </w:r>
      <w:r>
        <w:rPr>
          <w:rFonts w:hint="eastAsia" w:ascii="黑体" w:hAnsi="黑体" w:eastAsia="黑体" w:cs="黑体"/>
          <w:sz w:val="28"/>
          <w:szCs w:val="36"/>
        </w:rPr>
        <w:t>二、收</w:t>
      </w:r>
      <w:r>
        <w:rPr>
          <w:rFonts w:hint="eastAsia" w:ascii="黑体" w:hAnsi="黑体" w:eastAsia="黑体" w:cs="黑体"/>
          <w:bCs w:val="0"/>
          <w:sz w:val="28"/>
          <w:szCs w:val="36"/>
        </w:rPr>
        <w:t>入决算表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_Toc32208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_Toc23182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三、</w:t>
      </w:r>
      <w:r>
        <w:rPr>
          <w:rFonts w:hint="eastAsia" w:ascii="黑体" w:hAnsi="黑体" w:eastAsia="黑体" w:cs="黑体"/>
          <w:sz w:val="28"/>
          <w:szCs w:val="36"/>
        </w:rPr>
        <w:t>支</w:t>
      </w:r>
      <w:r>
        <w:rPr>
          <w:rFonts w:hint="eastAsia" w:ascii="黑体" w:hAnsi="黑体" w:eastAsia="黑体" w:cs="黑体"/>
          <w:bCs w:val="0"/>
          <w:sz w:val="28"/>
          <w:szCs w:val="36"/>
        </w:rPr>
        <w:t>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_Toc23182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_Toc819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四、</w:t>
      </w:r>
      <w:r>
        <w:rPr>
          <w:rFonts w:hint="eastAsia" w:ascii="黑体" w:hAnsi="黑体" w:eastAsia="黑体" w:cs="黑体"/>
          <w:sz w:val="28"/>
          <w:szCs w:val="36"/>
        </w:rPr>
        <w:t>财</w:t>
      </w:r>
      <w:r>
        <w:rPr>
          <w:rFonts w:hint="eastAsia" w:ascii="黑体" w:hAnsi="黑体" w:eastAsia="黑体" w:cs="黑体"/>
          <w:bCs w:val="0"/>
          <w:sz w:val="28"/>
          <w:szCs w:val="36"/>
        </w:rPr>
        <w:t>政拨款收入支出决算总表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_Toc819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_Toc14235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五、</w:t>
      </w:r>
      <w:r>
        <w:rPr>
          <w:rFonts w:hint="eastAsia" w:ascii="黑体" w:hAnsi="黑体" w:eastAsia="黑体" w:cs="黑体"/>
          <w:sz w:val="28"/>
          <w:szCs w:val="36"/>
        </w:rPr>
        <w:t>财</w:t>
      </w:r>
      <w:r>
        <w:rPr>
          <w:rFonts w:hint="eastAsia" w:ascii="黑体" w:hAnsi="黑体" w:eastAsia="黑体" w:cs="黑体"/>
          <w:bCs w:val="0"/>
          <w:sz w:val="28"/>
          <w:szCs w:val="36"/>
        </w:rPr>
        <w:t>政拨款支出决算明细表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_Toc14235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_Toc3728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六、</w:t>
      </w:r>
      <w:r>
        <w:rPr>
          <w:rFonts w:hint="eastAsia" w:ascii="黑体" w:hAnsi="黑体" w:eastAsia="黑体" w:cs="黑体"/>
          <w:sz w:val="28"/>
          <w:szCs w:val="36"/>
        </w:rPr>
        <w:t>一</w:t>
      </w:r>
      <w:r>
        <w:rPr>
          <w:rFonts w:hint="eastAsia" w:ascii="黑体" w:hAnsi="黑体" w:eastAsia="黑体" w:cs="黑体"/>
          <w:bCs w:val="0"/>
          <w:sz w:val="28"/>
          <w:szCs w:val="36"/>
        </w:rPr>
        <w:t>般公共预算财政拨款支出决算表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_Toc3728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_Toc28566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七、</w:t>
      </w:r>
      <w:r>
        <w:rPr>
          <w:rFonts w:hint="eastAsia" w:ascii="黑体" w:hAnsi="黑体" w:eastAsia="黑体" w:cs="黑体"/>
          <w:sz w:val="28"/>
          <w:szCs w:val="36"/>
        </w:rPr>
        <w:t>一</w:t>
      </w:r>
      <w:r>
        <w:rPr>
          <w:rFonts w:hint="eastAsia" w:ascii="黑体" w:hAnsi="黑体" w:eastAsia="黑体" w:cs="黑体"/>
          <w:bCs w:val="0"/>
          <w:sz w:val="28"/>
          <w:szCs w:val="36"/>
        </w:rPr>
        <w:t>般公共预算财政拨款支出决算明细表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_Toc28566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_Toc4993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八、</w:t>
      </w:r>
      <w:r>
        <w:rPr>
          <w:rFonts w:hint="eastAsia" w:ascii="黑体" w:hAnsi="黑体" w:eastAsia="黑体" w:cs="黑体"/>
          <w:sz w:val="28"/>
          <w:szCs w:val="36"/>
        </w:rPr>
        <w:t>一</w:t>
      </w:r>
      <w:r>
        <w:rPr>
          <w:rFonts w:hint="eastAsia" w:ascii="黑体" w:hAnsi="黑体" w:eastAsia="黑体" w:cs="黑体"/>
          <w:bCs w:val="0"/>
          <w:sz w:val="28"/>
          <w:szCs w:val="36"/>
        </w:rPr>
        <w:t>般公共预算财政拨款基本支出决算表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_Toc4993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_Toc10425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九、</w:t>
      </w:r>
      <w:r>
        <w:rPr>
          <w:rFonts w:hint="eastAsia" w:ascii="黑体" w:hAnsi="黑体" w:eastAsia="黑体" w:cs="黑体"/>
          <w:sz w:val="28"/>
          <w:szCs w:val="36"/>
        </w:rPr>
        <w:t>一</w:t>
      </w:r>
      <w:r>
        <w:rPr>
          <w:rFonts w:hint="eastAsia" w:ascii="黑体" w:hAnsi="黑体" w:eastAsia="黑体" w:cs="黑体"/>
          <w:bCs w:val="0"/>
          <w:sz w:val="28"/>
          <w:szCs w:val="36"/>
        </w:rPr>
        <w:t>般公共预算财政拨款项目支出决算表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_Toc10425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_Toc9301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w:t>
      </w:r>
      <w:r>
        <w:rPr>
          <w:rFonts w:hint="eastAsia" w:ascii="黑体" w:hAnsi="黑体" w:eastAsia="黑体" w:cs="黑体"/>
          <w:sz w:val="28"/>
          <w:szCs w:val="36"/>
        </w:rPr>
        <w:t>一</w:t>
      </w:r>
      <w:r>
        <w:rPr>
          <w:rFonts w:hint="eastAsia" w:ascii="黑体" w:hAnsi="黑体" w:eastAsia="黑体" w:cs="黑体"/>
          <w:bCs w:val="0"/>
          <w:sz w:val="28"/>
          <w:szCs w:val="36"/>
        </w:rPr>
        <w:t>般公共预算财政拨款“三公”经费支出决算表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_Toc9301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_Toc1320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十一、</w:t>
      </w:r>
      <w:r>
        <w:rPr>
          <w:rFonts w:hint="eastAsia" w:ascii="黑体" w:hAnsi="黑体" w:eastAsia="黑体" w:cs="黑体"/>
          <w:sz w:val="28"/>
          <w:szCs w:val="36"/>
        </w:rPr>
        <w:t>政</w:t>
      </w:r>
      <w:r>
        <w:rPr>
          <w:rFonts w:hint="eastAsia" w:ascii="黑体" w:hAnsi="黑体" w:eastAsia="黑体" w:cs="黑体"/>
          <w:bCs w:val="0"/>
          <w:sz w:val="28"/>
          <w:szCs w:val="36"/>
        </w:rPr>
        <w:t>府性基金预算财政拨款收入支出决算表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_Toc1320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_Toc5992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十二、</w:t>
      </w:r>
      <w:r>
        <w:rPr>
          <w:rFonts w:hint="eastAsia" w:ascii="黑体" w:hAnsi="黑体" w:eastAsia="黑体" w:cs="黑体"/>
          <w:sz w:val="28"/>
          <w:szCs w:val="36"/>
        </w:rPr>
        <w:t>政</w:t>
      </w:r>
      <w:r>
        <w:rPr>
          <w:rFonts w:hint="eastAsia" w:ascii="黑体" w:hAnsi="黑体" w:eastAsia="黑体" w:cs="黑体"/>
          <w:bCs w:val="0"/>
          <w:sz w:val="28"/>
          <w:szCs w:val="36"/>
        </w:rPr>
        <w:t>府性基金预算财政拨款“三公”经费支出决算表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_Toc5992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_Toc29553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十三、</w:t>
      </w:r>
      <w:r>
        <w:rPr>
          <w:rFonts w:hint="eastAsia" w:ascii="黑体" w:hAnsi="黑体" w:eastAsia="黑体" w:cs="黑体"/>
          <w:sz w:val="28"/>
          <w:szCs w:val="36"/>
        </w:rPr>
        <w:t>国</w:t>
      </w:r>
      <w:r>
        <w:rPr>
          <w:rFonts w:hint="eastAsia" w:ascii="黑体" w:hAnsi="黑体" w:eastAsia="黑体" w:cs="黑体"/>
          <w:bCs w:val="0"/>
          <w:sz w:val="28"/>
          <w:szCs w:val="36"/>
        </w:rPr>
        <w:t>有资本经营预算财政拨款收入支出决算表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_Toc29553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tabs>
          <w:tab w:val="right" w:leader="dot" w:pos="8306"/>
          <w:tab w:val="clear" w:pos="8296"/>
        </w:tabs>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_Toc21545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十四、国有资本经营预算财政拨款支出决算表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_Toc21545 \h </w:instrText>
      </w:r>
      <w:r>
        <w:rPr>
          <w:rFonts w:hint="eastAsia" w:ascii="黑体" w:hAnsi="黑体" w:eastAsia="黑体" w:cs="黑体"/>
          <w:sz w:val="28"/>
          <w:szCs w:val="36"/>
        </w:rPr>
        <w:fldChar w:fldCharType="separate"/>
      </w:r>
      <w:r>
        <w:rPr>
          <w:rFonts w:hint="eastAsia" w:ascii="黑体" w:hAnsi="黑体" w:eastAsia="黑体" w:cs="黑体"/>
          <w:sz w:val="28"/>
          <w:szCs w:val="36"/>
        </w:rPr>
        <w:t>146</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2"/>
        <w:rPr>
          <w:rFonts w:hint="eastAsia"/>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rPr>
        <w:fldChar w:fldCharType="end"/>
      </w:r>
    </w:p>
    <w:p>
      <w:pPr>
        <w:pStyle w:val="2"/>
        <w:rPr>
          <w:rFonts w:hint="eastAsia"/>
        </w:rPr>
      </w:pPr>
    </w:p>
    <w:p>
      <w:pPr>
        <w:pStyle w:val="3"/>
        <w:jc w:val="center"/>
        <w:rPr>
          <w:rFonts w:ascii="黑体" w:eastAsia="黑体"/>
          <w:sz w:val="32"/>
          <w:szCs w:val="32"/>
        </w:rPr>
      </w:pPr>
      <w:bookmarkStart w:id="13" w:name="_Toc7435"/>
      <w:r>
        <w:rPr>
          <w:rFonts w:hint="eastAsia" w:ascii="黑体" w:hAnsi="黑体" w:eastAsia="黑体"/>
          <w:b w:val="0"/>
        </w:rPr>
        <w:t>第一部分 单位</w:t>
      </w:r>
      <w:r>
        <w:rPr>
          <w:rStyle w:val="25"/>
          <w:rFonts w:hint="eastAsia" w:ascii="黑体" w:hAnsi="黑体" w:eastAsia="黑体"/>
          <w:b w:val="0"/>
          <w:bCs w:val="0"/>
        </w:rPr>
        <w:t>概况</w:t>
      </w:r>
      <w:bookmarkEnd w:id="13"/>
    </w:p>
    <w:p>
      <w:pPr>
        <w:pStyle w:val="4"/>
        <w:rPr>
          <w:rStyle w:val="35"/>
          <w:rFonts w:ascii="仿宋" w:hAnsi="仿宋" w:eastAsia="仿宋"/>
          <w:b w:val="0"/>
          <w:bCs w:val="0"/>
        </w:rPr>
      </w:pPr>
      <w:bookmarkStart w:id="14" w:name="_Toc5702"/>
      <w:bookmarkStart w:id="15" w:name="_Toc15377197"/>
      <w:bookmarkStart w:id="16" w:name="_Toc15396600"/>
      <w:r>
        <w:rPr>
          <w:rFonts w:hint="eastAsia" w:ascii="黑体" w:hAnsi="黑体" w:eastAsia="黑体"/>
          <w:b w:val="0"/>
          <w:color w:val="000000"/>
        </w:rPr>
        <w:t>一、基</w:t>
      </w:r>
      <w:r>
        <w:rPr>
          <w:rStyle w:val="35"/>
          <w:rFonts w:hint="eastAsia" w:ascii="黑体" w:hAnsi="黑体" w:eastAsia="黑体"/>
          <w:b w:val="0"/>
          <w:bCs w:val="0"/>
        </w:rPr>
        <w:t>本职能及主要工作</w:t>
      </w:r>
      <w:bookmarkEnd w:id="14"/>
    </w:p>
    <w:p>
      <w:pPr>
        <w:pStyle w:val="2"/>
        <w:adjustRightInd w:val="0"/>
        <w:snapToGrid w:val="0"/>
        <w:spacing w:before="93" w:line="600" w:lineRule="exact"/>
        <w:ind w:firstLine="675" w:firstLineChars="210"/>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1、</w:t>
      </w:r>
      <w:r>
        <w:rPr>
          <w:rFonts w:hint="eastAsia" w:eastAsia="方正仿宋_GBK"/>
          <w:sz w:val="33"/>
        </w:rPr>
        <w:t>贯彻执行国家、省、广安市及华蓥市有关交通运输行业的方针、政策和法律、法规。组织拟订并监督实施公路、水路等行业规划、政策和标准,会同有关部门组织编制综合运输体系规划,参与拟订物流业发展战略和规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2、</w:t>
      </w:r>
      <w:r>
        <w:rPr>
          <w:rFonts w:hint="eastAsia" w:eastAsia="方正仿宋_GBK"/>
          <w:sz w:val="33"/>
        </w:rPr>
        <w:t>拟订全市交通运输规范性文件草案,负责本系统、本部门依法行政工作,落实行政执法责任制。负责公路、水路行业有关体制改革工作,承担全市收费公路和重点公路管理的有关工作。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3、</w:t>
      </w:r>
      <w:r>
        <w:rPr>
          <w:rFonts w:hint="eastAsia" w:eastAsia="方正仿宋_GBK"/>
          <w:sz w:val="33"/>
        </w:rPr>
        <w:t>承担道路、水路交通运输市场监管责任,贯彻落实道路、水路运输有关政策、技术标准。负责城乡客运管理工作。指导出租汽车行业管理工作。会同有关部门制定运输价格。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4、</w:t>
      </w:r>
      <w:r>
        <w:rPr>
          <w:rFonts w:hint="eastAsia" w:eastAsia="方正仿宋_GBK"/>
          <w:sz w:val="33"/>
        </w:rPr>
        <w:t>承担水上交通安全监管责任。按规定负责水上交通管制、运输船舶、渔船及相关水上设施检验、登记和防止污染、救助打捞、通讯导航、危险品运输的监督管理工作,负责船员管理相关工作。负责水上交通安全事故、船舶及相关水上设施污染事故的应急处置,依法组织或参与事故调查处理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5、</w:t>
      </w:r>
      <w:r>
        <w:rPr>
          <w:rFonts w:hint="eastAsia" w:eastAsia="方正仿宋_GBK"/>
          <w:sz w:val="33"/>
        </w:rPr>
        <w:t>负责提出公路、水路固定资产投资规模和方向、市财政性资金安排建议,按照规定权限审批、核准省、市规划内和年度计划规模内固定资产投资项目。会同有关部门拟订公路、水路有关规费政策并监督实施,提出有关财政、土地、价格等政策建议。指导交通运输行业审计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6、</w:t>
      </w:r>
      <w:r>
        <w:rPr>
          <w:rFonts w:hint="eastAsia" w:eastAsia="方正仿宋_GBK"/>
          <w:sz w:val="33"/>
        </w:rPr>
        <w:t>承担公路、水路建设市场监管责任。拟订公路、水路工程建设相关政策、制度、技术标准并监督实施,组织协调公路、水路有关重点工程建设和工程质量、安全生产监督管理工作。负责对交通行业和产业项目的招标投标活动的监督执法。负责交通运输基础设施管理和维护,承担有关重要设施的管理和维护。按规定负责港口规划和港口岸线使用管理工作,负责交通运输行业特许经营管理,会同有关部门组织实施交通运输行业职业资格管理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7、</w:t>
      </w:r>
      <w:r>
        <w:rPr>
          <w:rFonts w:hint="eastAsia" w:eastAsia="方正仿宋_GBK"/>
          <w:sz w:val="33"/>
        </w:rPr>
        <w:t>负责公路、水路行业安全生产和应急管理工作。按规定组织协调国家及省重点物资和紧急客货运输,负责全市重点公路及重点干线路网运行监测和协调。组织协调地方交通战备工作,承担国防动员有关工作。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8、</w:t>
      </w:r>
      <w:r>
        <w:rPr>
          <w:rFonts w:hint="eastAsia" w:eastAsia="方正仿宋_GBK"/>
          <w:sz w:val="33"/>
        </w:rPr>
        <w:t>制定交通运输科技政策并监督实施,组织重大科技开发。负责全市交通运输信息化建设,监测分析运行情况,开展相关统计工作,发布有关信息。负责公路、水路行业环境保护和节能减排工作。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9、</w:t>
      </w:r>
      <w:r>
        <w:rPr>
          <w:rFonts w:hint="eastAsia" w:eastAsia="方正仿宋_GBK"/>
          <w:sz w:val="33"/>
        </w:rPr>
        <w:t>负责公路、水路有关涉外工作,开展对外经济技术交流与合作,承担全市交通运输行业招商引资和利用外资工作。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10、</w:t>
      </w:r>
      <w:r>
        <w:rPr>
          <w:rFonts w:hint="eastAsia" w:eastAsia="方正仿宋_GBK"/>
          <w:sz w:val="33"/>
        </w:rPr>
        <w:t>承担市政府公布的有关行政审批事项。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eastAsia="方正仿宋_GBK"/>
          <w:sz w:val="33"/>
        </w:rPr>
      </w:pPr>
      <w:r>
        <w:rPr>
          <w:rFonts w:hint="eastAsia" w:eastAsia="方正仿宋_GBK"/>
          <w:sz w:val="33"/>
          <w:lang w:val="en-US" w:eastAsia="zh-CN"/>
        </w:rPr>
        <w:t>11、</w:t>
      </w:r>
      <w:r>
        <w:rPr>
          <w:rFonts w:hint="eastAsia" w:eastAsia="方正仿宋_GBK"/>
          <w:sz w:val="33"/>
        </w:rPr>
        <w:t>完成市委和市政府交办的其他任务。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eastAsia="方正仿宋_GBK"/>
          <w:sz w:val="33"/>
        </w:rPr>
      </w:pPr>
      <w:r>
        <w:rPr>
          <w:rFonts w:hint="eastAsia" w:eastAsia="方正仿宋_GBK"/>
          <w:sz w:val="33"/>
          <w:lang w:val="en-US" w:eastAsia="zh-CN"/>
        </w:rPr>
        <w:t>12、</w:t>
      </w:r>
      <w:r>
        <w:rPr>
          <w:rFonts w:hint="eastAsia" w:eastAsia="方正仿宋_GBK"/>
          <w:sz w:val="33"/>
        </w:rPr>
        <w:t>职能转变。将市农业农村局的渔船检验和监督管理职责划入市交通运输局,市农业农村局不再承担。</w:t>
      </w:r>
    </w:p>
    <w:bookmarkEnd w:id="15"/>
    <w:bookmarkEnd w:id="16"/>
    <w:p>
      <w:pPr>
        <w:pStyle w:val="2"/>
        <w:adjustRightInd w:val="0"/>
        <w:snapToGrid w:val="0"/>
        <w:spacing w:before="93" w:line="600" w:lineRule="exact"/>
        <w:ind w:firstLine="675" w:firstLineChars="210"/>
        <w:outlineLvl w:val="2"/>
        <w:rPr>
          <w:rFonts w:hint="eastAsia" w:ascii="仿宋" w:hAnsi="仿宋" w:eastAsia="仿宋" w:cs="仿宋"/>
          <w:b/>
          <w:bCs/>
          <w:kern w:val="2"/>
          <w:sz w:val="32"/>
          <w:szCs w:val="32"/>
          <w:lang w:val="en-US" w:eastAsia="zh-CN" w:bidi="ar-SA"/>
        </w:rPr>
      </w:pPr>
      <w:bookmarkStart w:id="17" w:name="_Toc28383"/>
      <w:r>
        <w:rPr>
          <w:rFonts w:hint="eastAsia" w:ascii="仿宋" w:hAnsi="仿宋" w:eastAsia="仿宋" w:cs="仿宋"/>
          <w:b/>
          <w:bCs/>
          <w:kern w:val="2"/>
          <w:sz w:val="32"/>
          <w:szCs w:val="32"/>
          <w:lang w:val="en-US" w:eastAsia="zh-CN" w:bidi="ar-SA"/>
        </w:rPr>
        <w:t>（二）2021年重点工作完成情况。</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lang w:val="en-US" w:eastAsia="zh-CN"/>
        </w:rPr>
      </w:pPr>
      <w:r>
        <w:rPr>
          <w:rFonts w:hint="eastAsia" w:eastAsia="方正仿宋_GBK" w:cs="Times New Roman"/>
          <w:sz w:val="33"/>
          <w:lang w:val="en-US" w:eastAsia="zh-CN"/>
        </w:rPr>
        <w:t>1、</w:t>
      </w:r>
      <w:r>
        <w:rPr>
          <w:rFonts w:hint="eastAsia" w:ascii="Times New Roman" w:hAnsi="Times New Roman" w:eastAsia="方正仿宋_GBK" w:cs="Times New Roman"/>
          <w:sz w:val="33"/>
          <w:lang w:eastAsia="zh-CN"/>
        </w:rPr>
        <w:t>政治建设不断强化。</w:t>
      </w:r>
      <w:r>
        <w:rPr>
          <w:rFonts w:hint="eastAsia" w:ascii="Times New Roman" w:hAnsi="Times New Roman" w:eastAsia="方正仿宋_GBK" w:cs="Times New Roman"/>
          <w:sz w:val="33"/>
          <w:lang w:val="en-US" w:eastAsia="zh-Hans"/>
        </w:rPr>
        <w:t>市交通运输局</w:t>
      </w:r>
      <w:r>
        <w:rPr>
          <w:rFonts w:hint="eastAsia" w:eastAsia="方正仿宋_GBK" w:cs="Times New Roman"/>
          <w:sz w:val="33"/>
          <w:lang w:val="en-US" w:eastAsia="zh-CN"/>
        </w:rPr>
        <w:t>本级</w:t>
      </w:r>
      <w:r>
        <w:rPr>
          <w:rFonts w:hint="eastAsia" w:ascii="Times New Roman" w:hAnsi="Times New Roman" w:eastAsia="方正仿宋_GBK" w:cs="Times New Roman"/>
          <w:sz w:val="33"/>
          <w:lang w:val="en-US" w:eastAsia="zh-Hans"/>
        </w:rPr>
        <w:t>党组始终坚持党的集中统一领导</w:t>
      </w:r>
      <w:r>
        <w:rPr>
          <w:rFonts w:hint="default" w:ascii="Times New Roman" w:hAnsi="Times New Roman" w:eastAsia="方正仿宋_GBK" w:cs="Times New Roman"/>
          <w:sz w:val="33"/>
          <w:lang w:eastAsia="zh-Hans"/>
        </w:rPr>
        <w:t>，</w:t>
      </w:r>
      <w:r>
        <w:rPr>
          <w:rFonts w:hint="eastAsia" w:ascii="Times New Roman" w:hAnsi="Times New Roman" w:eastAsia="方正仿宋_GBK" w:cs="Times New Roman"/>
          <w:sz w:val="33"/>
          <w:lang w:val="en-US" w:eastAsia="zh-CN"/>
        </w:rPr>
        <w:t>严格落实市委要求，做到“逢会必学”。今年以来，局</w:t>
      </w:r>
      <w:r>
        <w:rPr>
          <w:rFonts w:hint="eastAsia" w:eastAsia="方正仿宋_GBK" w:cs="Times New Roman"/>
          <w:sz w:val="33"/>
          <w:lang w:val="en-US" w:eastAsia="zh-CN"/>
        </w:rPr>
        <w:t>本级</w:t>
      </w:r>
      <w:r>
        <w:rPr>
          <w:rFonts w:hint="eastAsia" w:ascii="Times New Roman" w:hAnsi="Times New Roman" w:eastAsia="方正仿宋_GBK" w:cs="Times New Roman"/>
          <w:sz w:val="33"/>
          <w:lang w:val="en-US" w:eastAsia="zh-CN"/>
        </w:rPr>
        <w:t>党组</w:t>
      </w:r>
      <w:r>
        <w:rPr>
          <w:rFonts w:hint="eastAsia" w:ascii="Times New Roman" w:hAnsi="Times New Roman" w:eastAsia="方正仿宋_GBK" w:cs="Times New Roman"/>
          <w:sz w:val="33"/>
          <w:lang w:val="en-US" w:eastAsia="zh-Hans"/>
        </w:rPr>
        <w:t>召开党组</w:t>
      </w:r>
      <w:r>
        <w:rPr>
          <w:rFonts w:hint="default" w:ascii="Times New Roman" w:hAnsi="Times New Roman" w:eastAsia="方正仿宋_GBK" w:cs="Times New Roman"/>
          <w:sz w:val="33"/>
          <w:lang w:eastAsia="zh-Hans"/>
        </w:rPr>
        <w:t>（</w:t>
      </w:r>
      <w:r>
        <w:rPr>
          <w:rFonts w:hint="eastAsia" w:ascii="Times New Roman" w:hAnsi="Times New Roman" w:eastAsia="方正仿宋_GBK" w:cs="Times New Roman"/>
          <w:sz w:val="33"/>
          <w:lang w:val="en-US" w:eastAsia="zh-Hans"/>
        </w:rPr>
        <w:t>扩大</w:t>
      </w:r>
      <w:r>
        <w:rPr>
          <w:rFonts w:hint="default" w:ascii="Times New Roman" w:hAnsi="Times New Roman" w:eastAsia="方正仿宋_GBK" w:cs="Times New Roman"/>
          <w:sz w:val="33"/>
          <w:lang w:eastAsia="zh-Hans"/>
        </w:rPr>
        <w:t>）</w:t>
      </w:r>
      <w:r>
        <w:rPr>
          <w:rFonts w:hint="eastAsia" w:ascii="Times New Roman" w:hAnsi="Times New Roman" w:eastAsia="方正仿宋_GBK" w:cs="Times New Roman"/>
          <w:sz w:val="33"/>
          <w:lang w:val="en-US" w:eastAsia="zh-Hans"/>
        </w:rPr>
        <w:t>会</w:t>
      </w:r>
      <w:r>
        <w:rPr>
          <w:rFonts w:hint="default" w:ascii="Times New Roman" w:hAnsi="Times New Roman" w:eastAsia="方正仿宋_GBK" w:cs="Times New Roman"/>
          <w:sz w:val="33"/>
          <w:lang w:eastAsia="zh-Hans"/>
        </w:rPr>
        <w:t>、</w:t>
      </w:r>
      <w:r>
        <w:rPr>
          <w:rFonts w:hint="eastAsia" w:ascii="Times New Roman" w:hAnsi="Times New Roman" w:eastAsia="方正仿宋_GBK" w:cs="Times New Roman"/>
          <w:sz w:val="33"/>
          <w:lang w:val="en-US" w:eastAsia="zh-Hans"/>
        </w:rPr>
        <w:t>理论学习中心组学习会共计</w:t>
      </w:r>
      <w:r>
        <w:rPr>
          <w:rFonts w:hint="default" w:ascii="Times New Roman" w:hAnsi="Times New Roman" w:eastAsia="方正仿宋_GBK" w:cs="Times New Roman"/>
          <w:sz w:val="33"/>
          <w:lang w:eastAsia="zh-Hans"/>
        </w:rPr>
        <w:t>45</w:t>
      </w:r>
      <w:r>
        <w:rPr>
          <w:rFonts w:hint="eastAsia" w:ascii="Times New Roman" w:hAnsi="Times New Roman" w:eastAsia="方正仿宋_GBK" w:cs="Times New Roman"/>
          <w:sz w:val="33"/>
          <w:lang w:val="en-US" w:eastAsia="zh-Hans"/>
        </w:rPr>
        <w:t>次</w:t>
      </w:r>
      <w:r>
        <w:rPr>
          <w:rFonts w:hint="default" w:ascii="Times New Roman" w:hAnsi="Times New Roman" w:eastAsia="方正仿宋_GBK" w:cs="Times New Roman"/>
          <w:sz w:val="33"/>
          <w:lang w:eastAsia="zh-Hans"/>
        </w:rPr>
        <w:t>，</w:t>
      </w:r>
      <w:r>
        <w:rPr>
          <w:rFonts w:hint="eastAsia" w:ascii="Times New Roman" w:hAnsi="Times New Roman" w:eastAsia="方正仿宋_GBK" w:cs="Times New Roman"/>
          <w:sz w:val="33"/>
          <w:lang w:val="en-US" w:eastAsia="zh-CN"/>
        </w:rPr>
        <w:t>局领导班子成员还积极撰写</w:t>
      </w:r>
      <w:r>
        <w:rPr>
          <w:rFonts w:hint="eastAsia" w:ascii="Times New Roman" w:hAnsi="Times New Roman" w:eastAsia="方正仿宋_GBK" w:cs="Times New Roman"/>
          <w:sz w:val="33"/>
          <w:lang w:val="en-US" w:eastAsia="zh-Hans"/>
        </w:rPr>
        <w:t>心得体会</w:t>
      </w:r>
      <w:r>
        <w:rPr>
          <w:rFonts w:hint="default" w:ascii="Times New Roman" w:hAnsi="Times New Roman" w:eastAsia="方正仿宋_GBK" w:cs="Times New Roman"/>
          <w:sz w:val="33"/>
          <w:lang w:eastAsia="zh-CN"/>
        </w:rPr>
        <w:t>12</w:t>
      </w:r>
      <w:r>
        <w:rPr>
          <w:rFonts w:hint="eastAsia" w:ascii="Times New Roman" w:hAnsi="Times New Roman" w:eastAsia="方正仿宋_GBK" w:cs="Times New Roman"/>
          <w:sz w:val="33"/>
          <w:lang w:val="en-US" w:eastAsia="zh-Hans"/>
        </w:rPr>
        <w:t>篇</w:t>
      </w:r>
      <w:r>
        <w:rPr>
          <w:rFonts w:hint="eastAsia" w:ascii="Times New Roman" w:hAnsi="Times New Roman" w:eastAsia="方正仿宋_GBK" w:cs="Times New Roman"/>
          <w:sz w:val="33"/>
          <w:lang w:val="en-US" w:eastAsia="zh-CN"/>
        </w:rPr>
        <w:t>，并主动将学习心得体会融入到日常工作中去，</w:t>
      </w:r>
      <w:r>
        <w:rPr>
          <w:rFonts w:hint="eastAsia" w:ascii="Times New Roman" w:hAnsi="Times New Roman" w:eastAsia="方正仿宋_GBK" w:cs="Times New Roman"/>
          <w:sz w:val="33"/>
          <w:lang w:val="en-US" w:eastAsia="zh-Hans"/>
        </w:rPr>
        <w:t>切实</w:t>
      </w:r>
      <w:r>
        <w:rPr>
          <w:rFonts w:hint="eastAsia" w:ascii="Times New Roman" w:hAnsi="Times New Roman" w:eastAsia="方正仿宋_GBK" w:cs="Times New Roman"/>
          <w:sz w:val="33"/>
          <w:lang w:val="en-US" w:eastAsia="zh-CN"/>
        </w:rPr>
        <w:t>增强</w:t>
      </w:r>
      <w:r>
        <w:rPr>
          <w:rFonts w:hint="eastAsia" w:ascii="Times New Roman" w:hAnsi="Times New Roman" w:eastAsia="方正仿宋_GBK" w:cs="Times New Roman"/>
          <w:sz w:val="33"/>
          <w:lang w:val="en-US" w:eastAsia="zh-Hans"/>
        </w:rPr>
        <w:t>了</w:t>
      </w:r>
      <w:r>
        <w:rPr>
          <w:rFonts w:hint="eastAsia" w:ascii="Times New Roman" w:hAnsi="Times New Roman" w:eastAsia="方正仿宋_GBK" w:cs="Times New Roman"/>
          <w:sz w:val="33"/>
          <w:lang w:val="en-US" w:eastAsia="zh-CN"/>
        </w:rPr>
        <w:t>“四个意识”,坚定“四个自信”,坚决做到“两个维护”</w:t>
      </w:r>
      <w:r>
        <w:rPr>
          <w:rFonts w:hint="default" w:ascii="Times New Roman" w:hAnsi="Times New Roman" w:eastAsia="方正仿宋_GBK" w:cs="Times New Roman"/>
          <w:sz w:val="33"/>
          <w:lang w:eastAsia="zh-CN"/>
        </w:rPr>
        <w:t>，</w:t>
      </w:r>
      <w:r>
        <w:rPr>
          <w:rFonts w:hint="eastAsia" w:ascii="Times New Roman" w:hAnsi="Times New Roman" w:eastAsia="方正仿宋_GBK" w:cs="Times New Roman"/>
          <w:sz w:val="33"/>
          <w:lang w:val="en-US" w:eastAsia="zh-Hans"/>
        </w:rPr>
        <w:t>努力做到知行合一</w:t>
      </w:r>
      <w:r>
        <w:rPr>
          <w:rFonts w:hint="default" w:ascii="Times New Roman" w:hAnsi="Times New Roman" w:eastAsia="方正仿宋_GBK" w:cs="Times New Roman"/>
          <w:sz w:val="33"/>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rPr>
      </w:pPr>
      <w:r>
        <w:rPr>
          <w:rFonts w:hint="eastAsia" w:eastAsia="方正仿宋_GBK" w:cs="Times New Roman"/>
          <w:sz w:val="33"/>
          <w:lang w:val="en-US" w:eastAsia="zh-CN"/>
        </w:rPr>
        <w:t>2、</w:t>
      </w:r>
      <w:r>
        <w:rPr>
          <w:rFonts w:hint="eastAsia" w:ascii="Times New Roman" w:hAnsi="Times New Roman" w:eastAsia="方正仿宋_GBK" w:cs="Times New Roman"/>
          <w:sz w:val="33"/>
          <w:lang w:val="en-US" w:eastAsia="zh-CN"/>
        </w:rPr>
        <w:t>交通建设如火如荼。</w:t>
      </w:r>
      <w:r>
        <w:rPr>
          <w:rFonts w:hint="eastAsia" w:ascii="Times New Roman" w:hAnsi="Times New Roman" w:eastAsia="方正仿宋_GBK" w:cs="Times New Roman"/>
          <w:sz w:val="33"/>
          <w:lang w:eastAsia="zh-CN"/>
        </w:rPr>
        <w:t>一是</w:t>
      </w:r>
      <w:r>
        <w:rPr>
          <w:rFonts w:hint="eastAsia" w:ascii="Times New Roman" w:hAnsi="Times New Roman" w:eastAsia="方正仿宋_GBK" w:cs="Times New Roman"/>
          <w:sz w:val="33"/>
        </w:rPr>
        <w:t>对上争取稳扎稳打。坚持勤走动，勤汇报，充分抓住一切政策利好，精心包装项目，成功争取S407华蓥段新改建工程、美丽乡村旅游路等8个项目落地。</w:t>
      </w:r>
      <w:r>
        <w:rPr>
          <w:rFonts w:hint="eastAsia" w:ascii="Times New Roman" w:hAnsi="Times New Roman" w:eastAsia="方正仿宋_GBK" w:cs="Times New Roman"/>
          <w:sz w:val="33"/>
          <w:lang w:eastAsia="zh-CN"/>
        </w:rPr>
        <w:t>二是</w:t>
      </w:r>
      <w:r>
        <w:rPr>
          <w:rFonts w:hint="eastAsia" w:ascii="Times New Roman" w:hAnsi="Times New Roman" w:eastAsia="方正仿宋_GBK" w:cs="Times New Roman"/>
          <w:sz w:val="33"/>
        </w:rPr>
        <w:t>规划编制高质高效。围绕全市交通布局，分别委托省交通运输厅规划设计院、重庆交大编制《华蓥市</w:t>
      </w:r>
      <w:r>
        <w:rPr>
          <w:rFonts w:hint="eastAsia" w:eastAsia="方正仿宋_GBK" w:cs="Times New Roman"/>
          <w:sz w:val="33"/>
          <w:lang w:eastAsia="zh-CN"/>
        </w:rPr>
        <w:t>“</w:t>
      </w:r>
      <w:r>
        <w:rPr>
          <w:rFonts w:hint="eastAsia" w:ascii="Times New Roman" w:hAnsi="Times New Roman" w:eastAsia="方正仿宋_GBK" w:cs="Times New Roman"/>
          <w:sz w:val="33"/>
        </w:rPr>
        <w:t>十四五</w:t>
      </w:r>
      <w:r>
        <w:rPr>
          <w:rFonts w:hint="eastAsia" w:eastAsia="方正仿宋_GBK" w:cs="Times New Roman"/>
          <w:sz w:val="33"/>
          <w:lang w:eastAsia="zh-CN"/>
        </w:rPr>
        <w:t>”</w:t>
      </w:r>
      <w:r>
        <w:rPr>
          <w:rFonts w:hint="eastAsia" w:ascii="Times New Roman" w:hAnsi="Times New Roman" w:eastAsia="方正仿宋_GBK" w:cs="Times New Roman"/>
          <w:sz w:val="33"/>
        </w:rPr>
        <w:t>交通发展规划》《华蓥市</w:t>
      </w:r>
      <w:r>
        <w:rPr>
          <w:rFonts w:hint="eastAsia" w:eastAsia="方正仿宋_GBK" w:cs="Times New Roman"/>
          <w:sz w:val="33"/>
          <w:lang w:eastAsia="zh-CN"/>
        </w:rPr>
        <w:t>“</w:t>
      </w:r>
      <w:r>
        <w:rPr>
          <w:rFonts w:hint="eastAsia" w:ascii="Times New Roman" w:hAnsi="Times New Roman" w:eastAsia="方正仿宋_GBK" w:cs="Times New Roman"/>
          <w:sz w:val="33"/>
        </w:rPr>
        <w:t>十四五</w:t>
      </w:r>
      <w:r>
        <w:rPr>
          <w:rFonts w:hint="eastAsia" w:eastAsia="方正仿宋_GBK" w:cs="Times New Roman"/>
          <w:sz w:val="33"/>
          <w:lang w:eastAsia="zh-CN"/>
        </w:rPr>
        <w:t>”</w:t>
      </w:r>
      <w:r>
        <w:rPr>
          <w:rFonts w:hint="eastAsia" w:ascii="Times New Roman" w:hAnsi="Times New Roman" w:eastAsia="方正仿宋_GBK" w:cs="Times New Roman"/>
          <w:sz w:val="33"/>
        </w:rPr>
        <w:t>农村公路路网规划》，我市G660、G244、S208、S407、S406等国省道提档升级项目初步列入省厅“十四五”规划，广邻快速路、天金路、华合快速通道升为省道，我市广渝快速通道</w:t>
      </w:r>
      <w:bookmarkStart w:id="18" w:name="_Hlk82462937"/>
      <w:r>
        <w:rPr>
          <w:rFonts w:hint="eastAsia" w:ascii="Times New Roman" w:hAnsi="Times New Roman" w:eastAsia="方正仿宋_GBK" w:cs="Times New Roman"/>
          <w:sz w:val="33"/>
        </w:rPr>
        <w:t>已纳入成渝双城经济圈建设三年行动方案</w:t>
      </w:r>
      <w:bookmarkEnd w:id="18"/>
      <w:r>
        <w:rPr>
          <w:rFonts w:hint="eastAsia" w:ascii="Times New Roman" w:hAnsi="Times New Roman" w:eastAsia="方正仿宋_GBK" w:cs="Times New Roman"/>
          <w:sz w:val="33"/>
        </w:rPr>
        <w:t>。</w:t>
      </w:r>
      <w:r>
        <w:rPr>
          <w:rFonts w:hint="eastAsia" w:ascii="Times New Roman" w:hAnsi="Times New Roman" w:eastAsia="方正仿宋_GBK" w:cs="Times New Roman"/>
          <w:sz w:val="33"/>
          <w:lang w:eastAsia="zh-CN"/>
        </w:rPr>
        <w:t>三是</w:t>
      </w:r>
      <w:r>
        <w:rPr>
          <w:rFonts w:hint="eastAsia" w:ascii="Times New Roman" w:hAnsi="Times New Roman" w:eastAsia="方正仿宋_GBK" w:cs="Times New Roman"/>
          <w:sz w:val="33"/>
        </w:rPr>
        <w:t>项目建设提速提质。坚持前期项目抓落实、在建项目抓进度、新上项目促开工，高效推进全市重点项目建设。广渝快速路</w:t>
      </w:r>
      <w:r>
        <w:rPr>
          <w:rFonts w:hint="eastAsia" w:ascii="Times New Roman" w:hAnsi="Times New Roman" w:eastAsia="方正仿宋_GBK" w:cs="Times New Roman"/>
          <w:sz w:val="33"/>
          <w:lang w:eastAsia="zh-CN"/>
        </w:rPr>
        <w:t>、华合快速通道、一路两特三期、</w:t>
      </w:r>
      <w:r>
        <w:rPr>
          <w:rFonts w:hint="eastAsia" w:ascii="Times New Roman" w:hAnsi="Times New Roman" w:eastAsia="方正仿宋_GBK" w:cs="Times New Roman"/>
          <w:sz w:val="33"/>
          <w:lang w:val="en-US" w:eastAsia="zh-CN"/>
        </w:rPr>
        <w:t>S406天池至东环线等重点</w:t>
      </w:r>
      <w:r>
        <w:rPr>
          <w:rFonts w:hint="eastAsia" w:ascii="Times New Roman" w:hAnsi="Times New Roman" w:eastAsia="方正仿宋_GBK" w:cs="Times New Roman"/>
          <w:sz w:val="33"/>
          <w:lang w:eastAsia="zh-CN"/>
        </w:rPr>
        <w:t>项目前期顺利推进；</w:t>
      </w:r>
      <w:r>
        <w:rPr>
          <w:rFonts w:hint="eastAsia" w:ascii="Times New Roman" w:hAnsi="Times New Roman" w:eastAsia="方正仿宋_GBK" w:cs="Times New Roman"/>
          <w:sz w:val="33"/>
        </w:rPr>
        <w:t>广邻快速通道华蓥段（华蓥山隧道及引道工程）和S406华蓥明月渠江大桥成功进场施工</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S407华蓥段（物流园区段）</w:t>
      </w:r>
      <w:r>
        <w:rPr>
          <w:rFonts w:hint="eastAsia" w:ascii="Times New Roman" w:hAnsi="Times New Roman" w:eastAsia="方正仿宋_GBK" w:cs="Times New Roman"/>
          <w:sz w:val="33"/>
          <w:lang w:eastAsia="zh-CN"/>
        </w:rPr>
        <w:t>、过境高速高兴互通连接线完成形象进度达到</w:t>
      </w:r>
      <w:r>
        <w:rPr>
          <w:rFonts w:hint="eastAsia" w:ascii="Times New Roman" w:hAnsi="Times New Roman" w:eastAsia="方正仿宋_GBK" w:cs="Times New Roman"/>
          <w:sz w:val="33"/>
          <w:lang w:val="en-US" w:eastAsia="zh-CN"/>
        </w:rPr>
        <w:t>70%</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S406古桥至红岩乡联网公路</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过境高速禄市互通连接线</w:t>
      </w:r>
      <w:r>
        <w:rPr>
          <w:rFonts w:hint="eastAsia" w:ascii="Times New Roman" w:hAnsi="Times New Roman" w:eastAsia="方正仿宋_GBK" w:cs="Times New Roman"/>
          <w:sz w:val="33"/>
          <w:lang w:eastAsia="zh-CN"/>
        </w:rPr>
        <w:t>全部完工，具备通车条件；</w:t>
      </w:r>
      <w:r>
        <w:rPr>
          <w:rFonts w:hint="eastAsia" w:ascii="Times New Roman" w:hAnsi="Times New Roman" w:eastAsia="方正仿宋_GBK" w:cs="Times New Roman"/>
          <w:sz w:val="33"/>
        </w:rPr>
        <w:t>城市货运停车场</w:t>
      </w:r>
      <w:r>
        <w:rPr>
          <w:rFonts w:hint="eastAsia" w:ascii="Times New Roman" w:hAnsi="Times New Roman" w:eastAsia="方正仿宋_GBK" w:cs="Times New Roman"/>
          <w:sz w:val="33"/>
          <w:lang w:eastAsia="zh-CN"/>
        </w:rPr>
        <w:t>基本完成年内建设任务</w:t>
      </w:r>
      <w:r>
        <w:rPr>
          <w:rFonts w:hint="eastAsia" w:ascii="Times New Roman" w:hAnsi="Times New Roman" w:eastAsia="方正仿宋_GBK" w:cs="Times New Roman"/>
          <w:sz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lang w:eastAsia="zh-CN"/>
        </w:rPr>
      </w:pPr>
      <w:r>
        <w:rPr>
          <w:rFonts w:hint="eastAsia" w:eastAsia="方正仿宋_GBK" w:cs="Times New Roman"/>
          <w:sz w:val="33"/>
          <w:lang w:val="en-US" w:eastAsia="zh-CN"/>
        </w:rPr>
        <w:t>3、</w:t>
      </w:r>
      <w:r>
        <w:rPr>
          <w:rFonts w:hint="eastAsia" w:ascii="Times New Roman" w:hAnsi="Times New Roman" w:eastAsia="方正仿宋_GBK" w:cs="Times New Roman"/>
          <w:sz w:val="33"/>
          <w:lang w:val="en-US" w:eastAsia="zh-CN"/>
        </w:rPr>
        <w:t>运输服务向上向好。</w:t>
      </w:r>
      <w:r>
        <w:rPr>
          <w:rFonts w:hint="eastAsia" w:ascii="Times New Roman" w:hAnsi="Times New Roman" w:eastAsia="方正仿宋_GBK" w:cs="Times New Roman"/>
          <w:sz w:val="33"/>
        </w:rPr>
        <w:t>一是城市公交稳步发展。积极对接广安，今年1月成功开通广华城际公交线路，完善相应配套设施，新建城际公交站点22个，方便了两地群众出行，促进了广华同城化。完成4路公交线路经营权的回收，更新投放6辆新能源车辆，全面完成城市公交国有化，形成全市城市公交一盘棋发展新格局。</w:t>
      </w:r>
      <w:r>
        <w:rPr>
          <w:rFonts w:hint="eastAsia" w:ascii="Times New Roman" w:hAnsi="Times New Roman" w:eastAsia="方正仿宋_GBK" w:cs="Times New Roman"/>
          <w:sz w:val="33"/>
          <w:lang w:eastAsia="zh-CN"/>
        </w:rPr>
        <w:t>二</w:t>
      </w:r>
      <w:r>
        <w:rPr>
          <w:rFonts w:hint="eastAsia" w:ascii="Times New Roman" w:hAnsi="Times New Roman" w:eastAsia="方正仿宋_GBK" w:cs="Times New Roman"/>
          <w:sz w:val="33"/>
        </w:rPr>
        <w:t>是农村客运</w:t>
      </w:r>
      <w:r>
        <w:rPr>
          <w:rFonts w:hint="eastAsia" w:ascii="Times New Roman" w:hAnsi="Times New Roman" w:eastAsia="方正仿宋_GBK" w:cs="Times New Roman"/>
          <w:sz w:val="33"/>
          <w:lang w:eastAsia="zh-CN"/>
        </w:rPr>
        <w:t>有序</w:t>
      </w:r>
      <w:r>
        <w:rPr>
          <w:rFonts w:hint="eastAsia" w:ascii="Times New Roman" w:hAnsi="Times New Roman" w:eastAsia="方正仿宋_GBK" w:cs="Times New Roman"/>
          <w:sz w:val="33"/>
        </w:rPr>
        <w:t>发展。</w:t>
      </w:r>
      <w:r>
        <w:rPr>
          <w:rFonts w:hint="eastAsia" w:ascii="Times New Roman" w:hAnsi="Times New Roman" w:eastAsia="方正仿宋_GBK" w:cs="Times New Roman"/>
          <w:sz w:val="33"/>
          <w:lang w:eastAsia="zh-CN"/>
        </w:rPr>
        <w:t>持续深入推进</w:t>
      </w:r>
      <w:r>
        <w:rPr>
          <w:rFonts w:hint="eastAsia" w:ascii="Times New Roman" w:hAnsi="Times New Roman" w:eastAsia="方正仿宋_GBK" w:cs="Times New Roman"/>
          <w:sz w:val="33"/>
        </w:rPr>
        <w:t>乡村客运“金通工程”，新建禄市海棠博览园和明月滨江路2个招呼站，对溪口客运站、禄市客运站进行维修改造升级，致力打造多站合一的乡村客运站点，城乡交通基本实现公共服务均等化。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rPr>
      </w:pPr>
      <w:r>
        <w:rPr>
          <w:rFonts w:hint="eastAsia" w:eastAsia="方正仿宋_GBK" w:cs="Times New Roman"/>
          <w:sz w:val="33"/>
          <w:lang w:val="en-US" w:eastAsia="zh-CN"/>
        </w:rPr>
        <w:t>4、</w:t>
      </w:r>
      <w:r>
        <w:rPr>
          <w:rFonts w:hint="eastAsia" w:ascii="Times New Roman" w:hAnsi="Times New Roman" w:eastAsia="方正仿宋_GBK" w:cs="Times New Roman"/>
          <w:sz w:val="33"/>
          <w:lang w:val="en-US" w:eastAsia="zh-CN"/>
        </w:rPr>
        <w:t>行业管理</w:t>
      </w:r>
      <w:r>
        <w:rPr>
          <w:rFonts w:hint="eastAsia" w:ascii="Times New Roman" w:hAnsi="Times New Roman" w:eastAsia="方正仿宋_GBK" w:cs="Times New Roman"/>
          <w:sz w:val="33"/>
        </w:rPr>
        <w:t>抓常抓长</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一是超限检查持续用力。加大执法力度，从严查处超限超载及污染公路行为。今年累计检测货运车辆12.46万台次，纠正超限运输车辆3821台次，纠正未密闭运输车辆38台次，卸货1596吨，立案查处货运车辆117台次。二是路面巡查力度不减。严格查处各种损害路产路权违法行为，发现</w:t>
      </w:r>
      <w:r>
        <w:rPr>
          <w:rFonts w:hint="eastAsia" w:ascii="Times New Roman" w:hAnsi="Times New Roman" w:eastAsia="方正仿宋_GBK" w:cs="Times New Roman"/>
          <w:sz w:val="33"/>
          <w:lang w:eastAsia="zh-CN"/>
        </w:rPr>
        <w:t>拆除</w:t>
      </w:r>
      <w:r>
        <w:rPr>
          <w:rFonts w:hint="eastAsia" w:ascii="Times New Roman" w:hAnsi="Times New Roman" w:eastAsia="方正仿宋_GBK" w:cs="Times New Roman"/>
          <w:sz w:val="33"/>
        </w:rPr>
        <w:t>公路路障12处</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非交通标志46处</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违章建筑物10处</w:t>
      </w:r>
      <w:r>
        <w:rPr>
          <w:rFonts w:hint="eastAsia" w:ascii="Times New Roman" w:hAnsi="Times New Roman" w:eastAsia="方正仿宋_GBK" w:cs="Times New Roman"/>
          <w:sz w:val="33"/>
          <w:lang w:eastAsia="zh-CN"/>
        </w:rPr>
        <w:t>。发现</w:t>
      </w:r>
      <w:r>
        <w:rPr>
          <w:rFonts w:hint="eastAsia" w:ascii="Times New Roman" w:hAnsi="Times New Roman" w:eastAsia="方正仿宋_GBK" w:cs="Times New Roman"/>
          <w:sz w:val="33"/>
        </w:rPr>
        <w:t>立案查处损坏公路附属设施18处，案件查处率、结案率均达到100%。三是公路养护扎实到位。持续强化国省干线养护，辖区内路况总体稳定。今年累计完成人工清扫路面1</w:t>
      </w:r>
      <w:r>
        <w:rPr>
          <w:rFonts w:hint="eastAsia" w:ascii="Times New Roman" w:hAnsi="Times New Roman" w:eastAsia="方正仿宋_GBK" w:cs="Times New Roman"/>
          <w:sz w:val="33"/>
          <w:lang w:val="en-US" w:eastAsia="zh-CN"/>
        </w:rPr>
        <w:t>9</w:t>
      </w:r>
      <w:r>
        <w:rPr>
          <w:rFonts w:hint="eastAsia" w:ascii="Times New Roman" w:hAnsi="Times New Roman" w:eastAsia="方正仿宋_GBK" w:cs="Times New Roman"/>
          <w:sz w:val="33"/>
        </w:rPr>
        <w:t>7</w:t>
      </w:r>
      <w:r>
        <w:rPr>
          <w:rFonts w:hint="eastAsia" w:ascii="Times New Roman" w:hAnsi="Times New Roman" w:eastAsia="方正仿宋_GBK" w:cs="Times New Roman"/>
          <w:sz w:val="33"/>
          <w:lang w:val="en-US" w:eastAsia="zh-CN"/>
        </w:rPr>
        <w:t>5</w:t>
      </w:r>
      <w:r>
        <w:rPr>
          <w:rFonts w:hint="eastAsia" w:ascii="Times New Roman" w:hAnsi="Times New Roman" w:eastAsia="方正仿宋_GBK" w:cs="Times New Roman"/>
          <w:sz w:val="33"/>
        </w:rPr>
        <w:t>0000平方、修整路肩水沟4</w:t>
      </w:r>
      <w:r>
        <w:rPr>
          <w:rFonts w:hint="eastAsia" w:ascii="Times New Roman" w:hAnsi="Times New Roman" w:eastAsia="方正仿宋_GBK" w:cs="Times New Roman"/>
          <w:sz w:val="33"/>
          <w:lang w:val="en-US" w:eastAsia="zh-CN"/>
        </w:rPr>
        <w:t>52</w:t>
      </w:r>
      <w:r>
        <w:rPr>
          <w:rFonts w:hint="eastAsia" w:ascii="Times New Roman" w:hAnsi="Times New Roman" w:eastAsia="方正仿宋_GBK" w:cs="Times New Roman"/>
          <w:sz w:val="33"/>
        </w:rPr>
        <w:t>0延米、清除边坡塌方路肩杂物21</w:t>
      </w:r>
      <w:r>
        <w:rPr>
          <w:rFonts w:hint="eastAsia" w:ascii="Times New Roman" w:hAnsi="Times New Roman" w:eastAsia="方正仿宋_GBK" w:cs="Times New Roman"/>
          <w:sz w:val="33"/>
          <w:lang w:val="en-US" w:eastAsia="zh-CN"/>
        </w:rPr>
        <w:t>730</w:t>
      </w:r>
      <w:r>
        <w:rPr>
          <w:rFonts w:hint="eastAsia" w:ascii="Times New Roman" w:hAnsi="Times New Roman" w:eastAsia="方正仿宋_GBK" w:cs="Times New Roman"/>
          <w:sz w:val="33"/>
        </w:rPr>
        <w:t>立方、清洗标志标牌257块次、清洗防护栏4</w:t>
      </w:r>
      <w:r>
        <w:rPr>
          <w:rFonts w:hint="eastAsia" w:ascii="Times New Roman" w:hAnsi="Times New Roman" w:eastAsia="方正仿宋_GBK" w:cs="Times New Roman"/>
          <w:sz w:val="33"/>
          <w:lang w:val="en-US" w:eastAsia="zh-CN"/>
        </w:rPr>
        <w:t>91</w:t>
      </w:r>
      <w:r>
        <w:rPr>
          <w:rFonts w:hint="eastAsia" w:ascii="Times New Roman" w:hAnsi="Times New Roman" w:eastAsia="方正仿宋_GBK" w:cs="Times New Roman"/>
          <w:sz w:val="33"/>
        </w:rPr>
        <w:t>0延米。科学组织人员及时处置路面坑槽6530平方、更换破损标志标牌8块，边坡排危18处，累计养护桥涵</w:t>
      </w:r>
      <w:r>
        <w:rPr>
          <w:rFonts w:hint="eastAsia" w:ascii="Times New Roman" w:hAnsi="Times New Roman" w:eastAsia="方正仿宋_GBK" w:cs="Times New Roman"/>
          <w:sz w:val="33"/>
          <w:lang w:val="en-US" w:eastAsia="zh-CN"/>
        </w:rPr>
        <w:t>510</w:t>
      </w:r>
      <w:r>
        <w:rPr>
          <w:rFonts w:hint="eastAsia" w:ascii="Times New Roman" w:hAnsi="Times New Roman" w:eastAsia="方正仿宋_GBK" w:cs="Times New Roman"/>
          <w:sz w:val="33"/>
        </w:rPr>
        <w:t>余座次。平均好路率</w:t>
      </w:r>
      <w:r>
        <w:rPr>
          <w:rFonts w:hint="eastAsia" w:ascii="Times New Roman" w:hAnsi="Times New Roman" w:eastAsia="方正仿宋_GBK" w:cs="Times New Roman"/>
          <w:sz w:val="33"/>
          <w:lang w:eastAsia="zh-CN"/>
        </w:rPr>
        <w:t>达</w:t>
      </w:r>
      <w:r>
        <w:rPr>
          <w:rFonts w:hint="eastAsia" w:ascii="Times New Roman" w:hAnsi="Times New Roman" w:eastAsia="方正仿宋_GBK" w:cs="Times New Roman"/>
          <w:sz w:val="33"/>
        </w:rPr>
        <w:t>90%</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lang w:val="en-US" w:eastAsia="zh-Hans"/>
        </w:rPr>
        <w:t>四是</w:t>
      </w:r>
      <w:r>
        <w:rPr>
          <w:rFonts w:hint="eastAsia" w:ascii="Times New Roman" w:hAnsi="Times New Roman" w:eastAsia="方正仿宋_GBK" w:cs="Times New Roman"/>
          <w:sz w:val="33"/>
          <w:lang w:eastAsia="zh-CN"/>
        </w:rPr>
        <w:t>疫情防控</w:t>
      </w:r>
      <w:r>
        <w:rPr>
          <w:rFonts w:hint="eastAsia" w:ascii="Times New Roman" w:hAnsi="Times New Roman" w:eastAsia="方正仿宋_GBK" w:cs="Times New Roman"/>
          <w:sz w:val="33"/>
          <w:lang w:val="en-US" w:eastAsia="zh-Hans"/>
        </w:rPr>
        <w:t>常态化</w:t>
      </w:r>
      <w:r>
        <w:rPr>
          <w:rFonts w:hint="eastAsia" w:ascii="Times New Roman" w:hAnsi="Times New Roman" w:eastAsia="方正仿宋_GBK" w:cs="Times New Roman"/>
          <w:sz w:val="33"/>
          <w:lang w:eastAsia="zh-CN"/>
        </w:rPr>
        <w:t>。</w:t>
      </w:r>
      <w:r>
        <w:rPr>
          <w:rFonts w:hint="eastAsia" w:ascii="Times New Roman" w:hAnsi="Times New Roman" w:eastAsia="方正仿宋_GBK" w:cs="Times New Roman"/>
          <w:sz w:val="33"/>
        </w:rPr>
        <w:t>依托四川省道路客运乘客信息系统，全面开展道路运输乘客信息登记，确保今年以来2</w:t>
      </w:r>
      <w:r>
        <w:rPr>
          <w:rFonts w:hint="eastAsia" w:ascii="Times New Roman" w:hAnsi="Times New Roman" w:eastAsia="方正仿宋_GBK" w:cs="Times New Roman"/>
          <w:sz w:val="33"/>
          <w:lang w:val="en-US" w:eastAsia="zh-CN"/>
        </w:rPr>
        <w:t>10</w:t>
      </w:r>
      <w:r>
        <w:rPr>
          <w:rFonts w:hint="eastAsia" w:ascii="Times New Roman" w:hAnsi="Times New Roman" w:eastAsia="方正仿宋_GBK" w:cs="Times New Roman"/>
          <w:sz w:val="33"/>
        </w:rPr>
        <w:t>万名入蓥乘客信息可追溯、可查询。依托全市8个高速出口设立冷链物流运输检查点，</w:t>
      </w:r>
      <w:r>
        <w:rPr>
          <w:rFonts w:hint="eastAsia" w:ascii="Times New Roman" w:hAnsi="Times New Roman" w:eastAsia="方正仿宋_GBK" w:cs="Times New Roman"/>
          <w:sz w:val="33"/>
          <w:lang w:eastAsia="zh-CN"/>
        </w:rPr>
        <w:t>全年</w:t>
      </w:r>
      <w:r>
        <w:rPr>
          <w:rFonts w:hint="eastAsia" w:ascii="Times New Roman" w:hAnsi="Times New Roman" w:eastAsia="方正仿宋_GBK" w:cs="Times New Roman"/>
          <w:sz w:val="33"/>
        </w:rPr>
        <w:t>排查冷链运输车辆</w:t>
      </w:r>
      <w:r>
        <w:rPr>
          <w:rFonts w:hint="eastAsia" w:ascii="Times New Roman" w:hAnsi="Times New Roman" w:eastAsia="方正仿宋_GBK" w:cs="Times New Roman"/>
          <w:sz w:val="33"/>
          <w:lang w:val="en-US" w:eastAsia="zh-CN"/>
        </w:rPr>
        <w:t>256</w:t>
      </w:r>
      <w:r>
        <w:rPr>
          <w:rFonts w:hint="eastAsia" w:ascii="Times New Roman" w:hAnsi="Times New Roman" w:eastAsia="方正仿宋_GBK" w:cs="Times New Roman"/>
          <w:sz w:val="33"/>
        </w:rPr>
        <w:t>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rPr>
      </w:pPr>
      <w:r>
        <w:rPr>
          <w:rFonts w:hint="eastAsia" w:eastAsia="方正仿宋_GBK" w:cs="Times New Roman"/>
          <w:sz w:val="33"/>
          <w:lang w:val="en-US" w:eastAsia="zh-CN"/>
        </w:rPr>
        <w:t>5、</w:t>
      </w:r>
      <w:r>
        <w:rPr>
          <w:rFonts w:hint="eastAsia" w:ascii="Times New Roman" w:hAnsi="Times New Roman" w:eastAsia="方正仿宋_GBK" w:cs="Times New Roman"/>
          <w:sz w:val="33"/>
        </w:rPr>
        <w:t>安全监管从严从实。一是切实做好风险路段管控和隐患路段治理。今年新建（维修）波形护栏6.3公里，安装警示标志标牌180余块，施画标线1200余平方米，清理公路滑坡25处640立方米。二是突出重点领域监管。严把公路水路运输市场准入关，今年督促33家运输企业整治隐患25起，自查自纠隐患71起，安全隐患整改率达100%。检查各类船舶125艘次，发现并整改安全隐患6个。三是强化应急能力建设。组建交通运输系统应急救援队伍，及时修订完善各类应急预案，组织本行业开展应急演练6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lang w:eastAsia="zh-CN"/>
        </w:rPr>
      </w:pPr>
      <w:r>
        <w:rPr>
          <w:rFonts w:hint="eastAsia" w:eastAsia="方正仿宋_GBK" w:cs="Times New Roman"/>
          <w:sz w:val="33"/>
          <w:lang w:val="en-US" w:eastAsia="zh-CN"/>
        </w:rPr>
        <w:t>6、</w:t>
      </w:r>
      <w:r>
        <w:rPr>
          <w:rFonts w:hint="eastAsia" w:ascii="Times New Roman" w:hAnsi="Times New Roman" w:eastAsia="方正仿宋_GBK" w:cs="Times New Roman"/>
          <w:sz w:val="33"/>
          <w:lang w:val="en-US" w:eastAsia="zh-CN"/>
        </w:rPr>
        <w:t>全面从严治</w:t>
      </w:r>
      <w:r>
        <w:rPr>
          <w:rFonts w:hint="eastAsia" w:eastAsia="方正仿宋_GBK" w:cs="Times New Roman"/>
          <w:sz w:val="33"/>
          <w:lang w:val="en-US" w:eastAsia="zh-CN"/>
        </w:rPr>
        <w:t>理</w:t>
      </w:r>
      <w:r>
        <w:rPr>
          <w:rFonts w:hint="eastAsia" w:ascii="Times New Roman" w:hAnsi="Times New Roman" w:eastAsia="方正仿宋_GBK" w:cs="Times New Roman"/>
          <w:sz w:val="33"/>
          <w:lang w:val="en-US" w:eastAsia="zh-CN"/>
        </w:rPr>
        <w:t>纵深推进。开展交通</w:t>
      </w:r>
      <w:r>
        <w:rPr>
          <w:rFonts w:hint="eastAsia" w:ascii="Times New Roman" w:hAnsi="Times New Roman" w:eastAsia="方正仿宋_GBK" w:cs="Times New Roman"/>
          <w:sz w:val="33"/>
          <w:lang w:val="en-US" w:eastAsia="zh-Hans"/>
        </w:rPr>
        <w:t>运输系统</w:t>
      </w:r>
      <w:r>
        <w:rPr>
          <w:rFonts w:hint="eastAsia" w:ascii="Times New Roman" w:hAnsi="Times New Roman" w:eastAsia="方正仿宋_GBK" w:cs="Times New Roman"/>
          <w:sz w:val="33"/>
          <w:lang w:val="en-US" w:eastAsia="zh-CN"/>
        </w:rPr>
        <w:t>突出问题系统治理和交通执法领域专项治理，开展廉洁从政情况自查。全年召开廉政</w:t>
      </w:r>
      <w:r>
        <w:rPr>
          <w:rFonts w:hint="eastAsia" w:ascii="Times New Roman" w:hAnsi="Times New Roman" w:eastAsia="方正仿宋_GBK" w:cs="Times New Roman"/>
          <w:sz w:val="33"/>
          <w:lang w:val="en-US" w:eastAsia="zh-Hans"/>
        </w:rPr>
        <w:t>建设和反腐败</w:t>
      </w:r>
      <w:r>
        <w:rPr>
          <w:rFonts w:hint="eastAsia" w:ascii="Times New Roman" w:hAnsi="Times New Roman" w:eastAsia="方正仿宋_GBK" w:cs="Times New Roman"/>
          <w:sz w:val="33"/>
          <w:lang w:val="en-US" w:eastAsia="zh-CN"/>
        </w:rPr>
        <w:t>推进会4次</w:t>
      </w:r>
      <w:r>
        <w:rPr>
          <w:rFonts w:hint="default" w:ascii="Times New Roman" w:hAnsi="Times New Roman" w:eastAsia="方正仿宋_GBK" w:cs="Times New Roman"/>
          <w:sz w:val="33"/>
          <w:lang w:eastAsia="zh-CN"/>
        </w:rPr>
        <w:t>，</w:t>
      </w:r>
      <w:r>
        <w:rPr>
          <w:rFonts w:hint="eastAsia" w:ascii="Times New Roman" w:hAnsi="Times New Roman" w:eastAsia="方正仿宋_GBK" w:cs="Times New Roman"/>
          <w:sz w:val="33"/>
          <w:lang w:val="en-US" w:eastAsia="zh-CN"/>
        </w:rPr>
        <w:t>扎实开展“人民阅卷</w:t>
      </w:r>
      <w:r>
        <w:rPr>
          <w:rFonts w:hint="eastAsia" w:eastAsia="方正仿宋_GBK" w:cs="Times New Roman"/>
          <w:sz w:val="33"/>
          <w:lang w:val="en-US" w:eastAsia="zh-CN"/>
        </w:rPr>
        <w:t>·</w:t>
      </w:r>
      <w:r>
        <w:rPr>
          <w:rFonts w:hint="eastAsia" w:ascii="Times New Roman" w:hAnsi="Times New Roman" w:eastAsia="方正仿宋_GBK" w:cs="Times New Roman"/>
          <w:sz w:val="33"/>
          <w:lang w:val="en-US" w:eastAsia="zh-CN"/>
        </w:rPr>
        <w:t>广安行动”活动，制发廉政和反腐败宣传资料1100余份，组织观看《换届纪律》《黑白人生》等警示教育片，系统196名干部职工实现全覆盖谈心谈话。</w:t>
      </w:r>
      <w:r>
        <w:rPr>
          <w:rFonts w:hint="eastAsia" w:ascii="Times New Roman" w:hAnsi="Times New Roman" w:eastAsia="方正仿宋_GBK" w:cs="Times New Roman"/>
          <w:sz w:val="33"/>
          <w:lang w:val="en-US" w:eastAsia="zh-Hans"/>
        </w:rPr>
        <w:t>修订完善内控制度</w:t>
      </w:r>
      <w:r>
        <w:rPr>
          <w:rFonts w:hint="default" w:ascii="Times New Roman" w:hAnsi="Times New Roman" w:eastAsia="方正仿宋_GBK" w:cs="Times New Roman"/>
          <w:sz w:val="33"/>
          <w:lang w:eastAsia="zh-Hans"/>
        </w:rPr>
        <w:t>12</w:t>
      </w:r>
      <w:r>
        <w:rPr>
          <w:rFonts w:hint="eastAsia" w:ascii="Times New Roman" w:hAnsi="Times New Roman" w:eastAsia="方正仿宋_GBK" w:cs="Times New Roman"/>
          <w:sz w:val="33"/>
          <w:lang w:val="en-US" w:eastAsia="zh-Hans"/>
        </w:rPr>
        <w:t>项</w:t>
      </w:r>
      <w:r>
        <w:rPr>
          <w:rFonts w:hint="default" w:ascii="Times New Roman" w:hAnsi="Times New Roman" w:eastAsia="方正仿宋_GBK" w:cs="Times New Roman"/>
          <w:sz w:val="33"/>
          <w:lang w:eastAsia="zh-Hans"/>
        </w:rPr>
        <w:t>，</w:t>
      </w:r>
      <w:r>
        <w:rPr>
          <w:rFonts w:hint="eastAsia" w:ascii="Times New Roman" w:hAnsi="Times New Roman" w:eastAsia="方正仿宋_GBK" w:cs="Times New Roman"/>
          <w:sz w:val="33"/>
          <w:lang w:val="en-US" w:eastAsia="zh-CN"/>
        </w:rPr>
        <w:t>建立机关周例会、月报告会机制，靠制度管人管事。</w:t>
      </w:r>
    </w:p>
    <w:p>
      <w:pPr>
        <w:pStyle w:val="4"/>
        <w:rPr>
          <w:rFonts w:hint="eastAsia" w:ascii="黑体" w:hAnsi="黑体" w:eastAsia="黑体"/>
          <w:b w:val="0"/>
        </w:rPr>
      </w:pPr>
      <w:bookmarkStart w:id="19" w:name="_Toc9842"/>
      <w:r>
        <w:rPr>
          <w:rFonts w:hint="eastAsia" w:ascii="黑体" w:hAnsi="黑体" w:eastAsia="黑体"/>
          <w:b w:val="0"/>
        </w:rPr>
        <w:t>二、机</w:t>
      </w:r>
      <w:r>
        <w:rPr>
          <w:rStyle w:val="26"/>
          <w:rFonts w:hint="eastAsia" w:ascii="黑体" w:hAnsi="黑体" w:eastAsia="黑体"/>
          <w:b w:val="0"/>
          <w:bCs w:val="0"/>
        </w:rPr>
        <w:t>构设置</w:t>
      </w:r>
      <w:bookmarkEnd w:id="19"/>
    </w:p>
    <w:p>
      <w:pPr>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单位共有在职人员</w:t>
      </w:r>
      <w:r>
        <w:rPr>
          <w:rFonts w:hint="eastAsia" w:ascii="仿宋" w:hAnsi="仿宋" w:eastAsia="仿宋"/>
          <w:sz w:val="32"/>
          <w:szCs w:val="32"/>
          <w:lang w:val="en-US" w:eastAsia="zh-CN"/>
        </w:rPr>
        <w:t>42人</w:t>
      </w:r>
      <w:r>
        <w:rPr>
          <w:rFonts w:hint="eastAsia" w:ascii="仿宋" w:hAnsi="仿宋" w:eastAsia="仿宋"/>
          <w:sz w:val="32"/>
          <w:szCs w:val="32"/>
        </w:rPr>
        <w:t>，</w:t>
      </w:r>
      <w:r>
        <w:rPr>
          <w:rFonts w:hint="eastAsia" w:ascii="仿宋" w:hAnsi="仿宋" w:eastAsia="仿宋"/>
          <w:sz w:val="32"/>
          <w:szCs w:val="32"/>
          <w:lang w:eastAsia="zh-CN"/>
        </w:rPr>
        <w:t>设有：</w:t>
      </w:r>
    </w:p>
    <w:p>
      <w:pPr>
        <w:ind w:firstLine="803" w:firstLineChars="250"/>
        <w:rPr>
          <w:rFonts w:hint="eastAsia" w:ascii="仿宋" w:hAnsi="仿宋" w:eastAsia="仿宋"/>
          <w:sz w:val="32"/>
          <w:szCs w:val="32"/>
          <w:lang w:val="en-US" w:eastAsia="zh-CN"/>
        </w:rPr>
      </w:pPr>
      <w:r>
        <w:rPr>
          <w:rFonts w:hint="eastAsia" w:ascii="仿宋" w:hAnsi="仿宋" w:eastAsia="仿宋"/>
          <w:b/>
          <w:bCs/>
          <w:sz w:val="32"/>
          <w:szCs w:val="32"/>
          <w:lang w:val="en-US" w:eastAsia="zh-CN"/>
        </w:rPr>
        <w:t>办公室(信访股)</w:t>
      </w:r>
      <w:r>
        <w:rPr>
          <w:rFonts w:hint="eastAsia" w:ascii="仿宋" w:hAnsi="仿宋" w:eastAsia="仿宋"/>
          <w:sz w:val="32"/>
          <w:szCs w:val="32"/>
          <w:lang w:val="en-US" w:eastAsia="zh-CN"/>
        </w:rPr>
        <w:t>，主要负责组织协调局机关工作，负责文电、信息、目标管理、行政效能建设、保密、档案、政务公开、值班、督查督办、接待及机关后勤管理等工作。</w:t>
      </w:r>
    </w:p>
    <w:p>
      <w:pPr>
        <w:ind w:firstLine="803" w:firstLineChars="250"/>
        <w:rPr>
          <w:rFonts w:hint="eastAsia" w:ascii="仿宋" w:hAnsi="仿宋" w:eastAsia="仿宋"/>
          <w:sz w:val="32"/>
          <w:szCs w:val="32"/>
          <w:lang w:val="en-US" w:eastAsia="zh-CN"/>
        </w:rPr>
      </w:pPr>
      <w:r>
        <w:rPr>
          <w:rFonts w:hint="eastAsia" w:ascii="Times New Roman" w:hAnsi="Times New Roman" w:eastAsia="仿宋_GB2312"/>
          <w:b/>
          <w:bCs/>
          <w:sz w:val="32"/>
          <w:szCs w:val="32"/>
          <w:highlight w:val="none"/>
        </w:rPr>
        <w:t>财务审计股</w:t>
      </w:r>
      <w:r>
        <w:rPr>
          <w:rFonts w:hint="eastAsia" w:eastAsia="仿宋_GB2312"/>
          <w:b/>
          <w:bCs/>
          <w:sz w:val="32"/>
          <w:szCs w:val="32"/>
          <w:highlight w:val="none"/>
          <w:lang w:eastAsia="zh-CN"/>
        </w:rPr>
        <w:t>室</w:t>
      </w:r>
      <w:r>
        <w:rPr>
          <w:rFonts w:hint="eastAsia" w:ascii="仿宋" w:hAnsi="仿宋" w:eastAsia="仿宋"/>
          <w:sz w:val="32"/>
          <w:szCs w:val="32"/>
          <w:lang w:val="en-US" w:eastAsia="zh-CN"/>
        </w:rPr>
        <w:t>，主要负责负责编制并严格执行财务预算;负责进行会计核算等财务工作，认真妥善保管会计凭证、帐簿、报表等档案资料。</w:t>
      </w:r>
    </w:p>
    <w:p>
      <w:pPr>
        <w:ind w:firstLine="803" w:firstLineChars="250"/>
        <w:rPr>
          <w:rFonts w:hint="eastAsia" w:ascii="仿宋" w:hAnsi="仿宋" w:eastAsia="仿宋"/>
          <w:sz w:val="32"/>
          <w:szCs w:val="32"/>
          <w:lang w:val="en-US" w:eastAsia="zh-CN"/>
        </w:rPr>
      </w:pPr>
      <w:r>
        <w:rPr>
          <w:rFonts w:hint="eastAsia" w:ascii="仿宋" w:hAnsi="仿宋" w:eastAsia="仿宋"/>
          <w:b/>
          <w:bCs/>
          <w:sz w:val="32"/>
          <w:szCs w:val="32"/>
          <w:lang w:val="en-US" w:eastAsia="zh-CN"/>
        </w:rPr>
        <w:t>规划建设股室</w:t>
      </w:r>
      <w:r>
        <w:rPr>
          <w:rFonts w:hint="eastAsia" w:ascii="仿宋" w:hAnsi="仿宋" w:eastAsia="仿宋"/>
          <w:sz w:val="32"/>
          <w:szCs w:val="32"/>
          <w:lang w:val="en-US" w:eastAsia="zh-CN"/>
        </w:rPr>
        <w:t>，主要负责编制全市公路和水路交通行业发展规划和年度投资计划、负责组织实施交通建设工程项目的管理、负责承办交通建设项目行政审批事项实施情况的监督检查等工作。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政策法规股室(行政审批股室)。</w:t>
      </w:r>
      <w:r>
        <w:rPr>
          <w:rFonts w:hint="eastAsia" w:ascii="仿宋" w:hAnsi="仿宋" w:eastAsia="仿宋"/>
          <w:sz w:val="32"/>
          <w:szCs w:val="32"/>
          <w:lang w:val="en-US" w:eastAsia="zh-CN"/>
        </w:rPr>
        <w:t>主要负责归口管理全市交通行业法制工作;组织交通行业政策、法律法规研究工作;负责交通运输法制教育工作;负责管理交通执法证件和装备等工作。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运输股(安全监督股、应急办公室)</w:t>
      </w:r>
      <w:r>
        <w:rPr>
          <w:rFonts w:hint="eastAsia" w:ascii="仿宋" w:hAnsi="仿宋" w:eastAsia="仿宋"/>
          <w:sz w:val="32"/>
          <w:szCs w:val="32"/>
          <w:lang w:val="en-US" w:eastAsia="zh-CN"/>
        </w:rPr>
        <w:t>,主要负责负责制定全市道路、水路运输行业发展政策、发展规划及中长期计划;组织制定城市公共客运的行业管理政策、标准和规范并监督实施，以及交通行业安全隐患排查和整治等工作。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工程质监股室</w:t>
      </w:r>
      <w:r>
        <w:rPr>
          <w:rFonts w:hint="eastAsia" w:ascii="仿宋" w:hAnsi="仿宋" w:eastAsia="仿宋"/>
          <w:sz w:val="32"/>
          <w:szCs w:val="32"/>
          <w:lang w:val="en-US" w:eastAsia="zh-CN"/>
        </w:rPr>
        <w:t>。主要负责全市公路、水运工程施工监理和试验检测工作以及对农村公路建设质量监督工作进行督导。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华蓥市交通战备办公室(华蓥市保护通信线路安全办公室)</w:t>
      </w:r>
      <w:r>
        <w:rPr>
          <w:rFonts w:hint="eastAsia" w:ascii="仿宋" w:hAnsi="仿宋" w:eastAsia="仿宋"/>
          <w:sz w:val="32"/>
          <w:szCs w:val="32"/>
          <w:lang w:val="en-US" w:eastAsia="zh-CN"/>
        </w:rPr>
        <w:t>，主要担负抢险救灾等突发事件的畅通保障任务;参与有关保护通信线路安全的综合治理工作;指导、检查、监督全市铁路、交通、邮电等部门的国防交通工作，协调处理有关问题等。</w:t>
      </w:r>
    </w:p>
    <w:p>
      <w:pPr>
        <w:ind w:firstLine="643" w:firstLineChars="200"/>
      </w:pPr>
      <w:r>
        <w:rPr>
          <w:rFonts w:hint="eastAsia" w:ascii="仿宋" w:hAnsi="仿宋" w:eastAsia="仿宋"/>
          <w:b/>
          <w:bCs/>
          <w:sz w:val="32"/>
          <w:szCs w:val="32"/>
          <w:lang w:val="en-US" w:eastAsia="zh-CN"/>
        </w:rPr>
        <w:t>机关党委</w:t>
      </w:r>
      <w:r>
        <w:rPr>
          <w:rFonts w:hint="eastAsia" w:ascii="仿宋" w:hAnsi="仿宋" w:eastAsia="仿宋"/>
          <w:sz w:val="32"/>
          <w:szCs w:val="32"/>
          <w:lang w:val="en-US" w:eastAsia="zh-CN"/>
        </w:rPr>
        <w:t>主要负责机关和直属事业单位的党群工作。机关党委办事机构由市交通运输局机关党组按照市委规定设置。</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0" w:name="_Toc25287"/>
      <w:bookmarkStart w:id="21" w:name="_Toc15396602"/>
      <w:bookmarkStart w:id="22"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20"/>
      <w:bookmarkEnd w:id="21"/>
      <w:bookmarkEnd w:id="22"/>
    </w:p>
    <w:p/>
    <w:p>
      <w:pPr>
        <w:pStyle w:val="24"/>
        <w:numPr>
          <w:ilvl w:val="0"/>
          <w:numId w:val="1"/>
        </w:numPr>
        <w:spacing w:line="600" w:lineRule="exact"/>
        <w:ind w:firstLineChars="0"/>
        <w:outlineLvl w:val="1"/>
        <w:rPr>
          <w:rStyle w:val="26"/>
          <w:rFonts w:ascii="黑体" w:hAnsi="黑体" w:eastAsia="黑体"/>
          <w:b w:val="0"/>
        </w:rPr>
      </w:pPr>
      <w:bookmarkStart w:id="23" w:name="_Toc15377205"/>
      <w:bookmarkStart w:id="24" w:name="_Toc15396603"/>
      <w:bookmarkStart w:id="25" w:name="_Toc1520"/>
      <w:r>
        <w:rPr>
          <w:rFonts w:hint="eastAsia" w:ascii="黑体" w:hAnsi="黑体" w:eastAsia="黑体"/>
          <w:sz w:val="32"/>
          <w:szCs w:val="32"/>
        </w:rPr>
        <w:t>收</w:t>
      </w:r>
      <w:r>
        <w:rPr>
          <w:rStyle w:val="26"/>
          <w:rFonts w:hint="eastAsia" w:ascii="黑体" w:hAnsi="黑体" w:eastAsia="黑体"/>
          <w:b w:val="0"/>
        </w:rPr>
        <w:t>入支出决算总体情况说明</w:t>
      </w:r>
      <w:bookmarkEnd w:id="23"/>
      <w:bookmarkEnd w:id="24"/>
      <w:bookmarkEnd w:id="25"/>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2021年度收</w:t>
      </w:r>
      <w:r>
        <w:rPr>
          <w:rFonts w:hint="eastAsia" w:ascii="仿宋" w:hAnsi="仿宋" w:eastAsia="仿宋"/>
          <w:sz w:val="32"/>
          <w:szCs w:val="32"/>
          <w:lang w:eastAsia="zh-CN"/>
        </w:rPr>
        <w:t>入总计</w:t>
      </w:r>
      <w:r>
        <w:rPr>
          <w:rFonts w:hint="eastAsia" w:ascii="仿宋" w:hAnsi="仿宋" w:eastAsia="仿宋"/>
          <w:sz w:val="32"/>
          <w:szCs w:val="32"/>
          <w:lang w:val="en-US" w:eastAsia="zh-CN"/>
        </w:rPr>
        <w:t>2804.77</w:t>
      </w:r>
      <w:r>
        <w:rPr>
          <w:rFonts w:hint="eastAsia" w:ascii="仿宋" w:hAnsi="仿宋" w:eastAsia="仿宋"/>
          <w:sz w:val="32"/>
          <w:szCs w:val="32"/>
        </w:rPr>
        <w:t>万元、支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4494.09万元</w:t>
      </w:r>
      <w:r>
        <w:rPr>
          <w:rFonts w:hint="eastAsia" w:ascii="仿宋" w:hAnsi="仿宋" w:eastAsia="仿宋"/>
          <w:sz w:val="32"/>
          <w:szCs w:val="32"/>
        </w:rPr>
        <w:t>。与2020年相比，收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eastAsia="zh-CN"/>
        </w:rPr>
        <w:t>减少</w:t>
      </w:r>
      <w:r>
        <w:rPr>
          <w:rFonts w:hint="eastAsia" w:ascii="仿宋" w:hAnsi="仿宋" w:eastAsia="仿宋"/>
          <w:sz w:val="32"/>
          <w:szCs w:val="32"/>
          <w:lang w:val="en-US" w:eastAsia="zh-CN"/>
        </w:rPr>
        <w:t>33521.63万元，</w:t>
      </w:r>
      <w:r>
        <w:rPr>
          <w:rFonts w:hint="eastAsia" w:ascii="仿宋" w:hAnsi="仿宋" w:eastAsia="仿宋"/>
          <w:sz w:val="32"/>
          <w:szCs w:val="32"/>
        </w:rPr>
        <w:t>下</w:t>
      </w:r>
      <w:r>
        <w:rPr>
          <w:rFonts w:hint="eastAsia" w:ascii="仿宋" w:hAnsi="仿宋" w:eastAsia="仿宋"/>
          <w:sz w:val="32"/>
          <w:szCs w:val="32"/>
          <w:lang w:val="en-US" w:eastAsia="zh-CN"/>
        </w:rPr>
        <w:t>降92.28%</w:t>
      </w:r>
      <w:r>
        <w:rPr>
          <w:rFonts w:hint="eastAsia" w:ascii="仿宋" w:hAnsi="仿宋" w:eastAsia="仿宋"/>
          <w:sz w:val="32"/>
          <w:szCs w:val="32"/>
          <w:lang w:eastAsia="zh-CN"/>
        </w:rPr>
        <w:t>，</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总计减少</w:t>
      </w:r>
      <w:r>
        <w:rPr>
          <w:rFonts w:hint="eastAsia" w:ascii="仿宋" w:hAnsi="仿宋" w:eastAsia="仿宋"/>
          <w:sz w:val="32"/>
          <w:szCs w:val="32"/>
          <w:lang w:val="en-US" w:eastAsia="zh-CN"/>
        </w:rPr>
        <w:t>31832.31</w:t>
      </w:r>
      <w:r>
        <w:rPr>
          <w:rFonts w:hint="eastAsia" w:ascii="仿宋" w:hAnsi="仿宋" w:eastAsia="仿宋"/>
          <w:sz w:val="32"/>
          <w:szCs w:val="32"/>
        </w:rPr>
        <w:t>万元，下降</w:t>
      </w:r>
      <w:r>
        <w:rPr>
          <w:rFonts w:hint="eastAsia" w:ascii="仿宋" w:hAnsi="仿宋" w:eastAsia="仿宋"/>
          <w:sz w:val="32"/>
          <w:szCs w:val="32"/>
          <w:lang w:val="en-US" w:eastAsia="zh-CN"/>
        </w:rPr>
        <w:t>87.63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2021年交通建设项目收入和支出减少。</w:t>
      </w:r>
    </w:p>
    <w:p>
      <w:pPr>
        <w:pStyle w:val="8"/>
        <w:rPr>
          <w:rFonts w:hint="default"/>
          <w:lang w:val="en-US" w:eastAsia="zh-CN"/>
        </w:rPr>
      </w:pPr>
      <w:r>
        <w:drawing>
          <wp:anchor distT="0" distB="0" distL="114300" distR="114300" simplePos="0" relativeHeight="251660288" behindDoc="0" locked="0" layoutInCell="1" allowOverlap="1">
            <wp:simplePos x="0" y="0"/>
            <wp:positionH relativeFrom="column">
              <wp:posOffset>409575</wp:posOffset>
            </wp:positionH>
            <wp:positionV relativeFrom="paragraph">
              <wp:posOffset>133350</wp:posOffset>
            </wp:positionV>
            <wp:extent cx="4590415" cy="2767330"/>
            <wp:effectExtent l="0" t="0" r="63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90415" cy="2767330"/>
                    </a:xfrm>
                    <a:prstGeom prst="rect">
                      <a:avLst/>
                    </a:prstGeom>
                    <a:noFill/>
                    <a:ln>
                      <a:noFill/>
                    </a:ln>
                  </pic:spPr>
                </pic:pic>
              </a:graphicData>
            </a:graphic>
          </wp:anchor>
        </w:drawing>
      </w:r>
      <w:r>
        <w:rPr>
          <w:rFonts w:hint="eastAsia"/>
          <w:lang w:val="en-US" w:eastAsia="zh-CN"/>
        </w:rPr>
        <w:t xml:space="preserve"> </w:t>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bookmarkStart w:id="28" w:name="_Toc30700"/>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bookmarkEnd w:id="28"/>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2021年本年收入合计</w:t>
      </w:r>
      <w:r>
        <w:rPr>
          <w:rFonts w:hint="eastAsia" w:ascii="仿宋" w:hAnsi="仿宋" w:eastAsia="仿宋"/>
          <w:sz w:val="32"/>
          <w:szCs w:val="32"/>
          <w:lang w:val="en-US" w:eastAsia="zh-CN"/>
        </w:rPr>
        <w:t>2804.77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2754.77</w:t>
      </w:r>
      <w:r>
        <w:rPr>
          <w:rFonts w:hint="eastAsia" w:ascii="仿宋" w:hAnsi="仿宋" w:eastAsia="仿宋"/>
          <w:sz w:val="32"/>
          <w:szCs w:val="32"/>
        </w:rPr>
        <w:t>万元，占</w:t>
      </w:r>
      <w:r>
        <w:rPr>
          <w:rFonts w:hint="eastAsia" w:ascii="仿宋" w:hAnsi="仿宋" w:eastAsia="仿宋"/>
          <w:sz w:val="32"/>
          <w:szCs w:val="32"/>
          <w:lang w:val="en-US" w:eastAsia="zh-CN"/>
        </w:rPr>
        <w:t>98.22</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50</w:t>
      </w:r>
      <w:r>
        <w:rPr>
          <w:rFonts w:hint="eastAsia" w:ascii="仿宋" w:hAnsi="仿宋" w:eastAsia="仿宋"/>
          <w:sz w:val="32"/>
          <w:szCs w:val="32"/>
        </w:rPr>
        <w:t>万元，占</w:t>
      </w:r>
      <w:r>
        <w:rPr>
          <w:rFonts w:hint="eastAsia" w:ascii="仿宋" w:hAnsi="仿宋" w:eastAsia="仿宋"/>
          <w:sz w:val="32"/>
          <w:szCs w:val="32"/>
          <w:lang w:val="en-US" w:eastAsia="zh-CN"/>
        </w:rPr>
        <w:t>1.78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rPr>
          <w:rFonts w:hint="eastAsia" w:ascii="仿宋" w:hAnsi="仿宋" w:eastAsia="仿宋"/>
          <w:sz w:val="32"/>
          <w:szCs w:val="32"/>
        </w:rPr>
      </w:pPr>
    </w:p>
    <w:p>
      <w:pPr>
        <w:pStyle w:val="8"/>
      </w:pPr>
      <w:r>
        <w:rPr>
          <w:rFonts w:hint="eastAsia"/>
          <w:lang w:val="en-US" w:eastAsia="zh-CN"/>
        </w:rPr>
        <w:t xml:space="preserve">       </w:t>
      </w:r>
      <w:r>
        <w:drawing>
          <wp:anchor distT="0" distB="0" distL="114300" distR="114300" simplePos="0" relativeHeight="251661312" behindDoc="0" locked="0" layoutInCell="1" allowOverlap="1">
            <wp:simplePos x="0" y="0"/>
            <wp:positionH relativeFrom="column">
              <wp:posOffset>400050</wp:posOffset>
            </wp:positionH>
            <wp:positionV relativeFrom="paragraph">
              <wp:posOffset>0</wp:posOffset>
            </wp:positionV>
            <wp:extent cx="4422775" cy="2663190"/>
            <wp:effectExtent l="0" t="0" r="15875" b="381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422775" cy="2663190"/>
                    </a:xfrm>
                    <a:prstGeom prst="rect">
                      <a:avLst/>
                    </a:prstGeom>
                    <a:noFill/>
                    <a:ln>
                      <a:noFill/>
                    </a:ln>
                  </pic:spPr>
                </pic:pic>
              </a:graphicData>
            </a:graphic>
          </wp:anchor>
        </w:drawing>
      </w:r>
    </w:p>
    <w:p>
      <w:pPr>
        <w:spacing w:line="600" w:lineRule="exact"/>
        <w:ind w:firstLine="2240" w:firstLineChars="7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4"/>
        <w:numPr>
          <w:ilvl w:val="0"/>
          <w:numId w:val="1"/>
        </w:numPr>
        <w:spacing w:line="600" w:lineRule="exact"/>
        <w:ind w:firstLineChars="0"/>
        <w:outlineLvl w:val="1"/>
        <w:rPr>
          <w:rFonts w:hint="eastAsia" w:ascii="黑体" w:hAnsi="黑体" w:eastAsia="黑体"/>
          <w:sz w:val="32"/>
          <w:szCs w:val="32"/>
        </w:rPr>
      </w:pPr>
      <w:bookmarkStart w:id="29" w:name="_Toc15377207"/>
      <w:bookmarkStart w:id="30" w:name="_Toc15396605"/>
      <w:bookmarkStart w:id="31" w:name="_Toc9153"/>
      <w:r>
        <w:rPr>
          <w:rFonts w:hint="eastAsia" w:ascii="黑体" w:hAnsi="黑体" w:eastAsia="黑体"/>
          <w:sz w:val="32"/>
          <w:szCs w:val="32"/>
        </w:rPr>
        <w:t>支出决算情况说明</w:t>
      </w:r>
      <w:bookmarkEnd w:id="29"/>
      <w:bookmarkEnd w:id="30"/>
      <w:bookmarkEnd w:id="3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2021年本年支出合计</w:t>
      </w:r>
      <w:r>
        <w:rPr>
          <w:rFonts w:hint="eastAsia" w:ascii="仿宋" w:hAnsi="仿宋" w:eastAsia="仿宋"/>
          <w:sz w:val="32"/>
          <w:szCs w:val="32"/>
          <w:lang w:val="en-US" w:eastAsia="zh-CN"/>
        </w:rPr>
        <w:t>4494.09</w:t>
      </w:r>
      <w:r>
        <w:rPr>
          <w:rFonts w:hint="eastAsia" w:ascii="仿宋" w:hAnsi="仿宋" w:eastAsia="仿宋"/>
          <w:sz w:val="32"/>
          <w:szCs w:val="32"/>
        </w:rPr>
        <w:t>万元，其中：基本支出</w:t>
      </w:r>
      <w:r>
        <w:rPr>
          <w:rFonts w:hint="eastAsia" w:ascii="仿宋" w:hAnsi="仿宋" w:eastAsia="仿宋"/>
          <w:sz w:val="32"/>
          <w:szCs w:val="32"/>
          <w:lang w:val="en-US" w:eastAsia="zh-CN"/>
        </w:rPr>
        <w:t>582.71</w:t>
      </w:r>
      <w:r>
        <w:rPr>
          <w:rFonts w:hint="eastAsia" w:ascii="仿宋" w:hAnsi="仿宋" w:eastAsia="仿宋"/>
          <w:sz w:val="32"/>
          <w:szCs w:val="32"/>
        </w:rPr>
        <w:t>万元，占</w:t>
      </w:r>
      <w:r>
        <w:rPr>
          <w:rFonts w:hint="eastAsia" w:ascii="仿宋" w:hAnsi="仿宋" w:eastAsia="仿宋"/>
          <w:sz w:val="32"/>
          <w:szCs w:val="32"/>
          <w:lang w:val="en-US" w:eastAsia="zh-CN"/>
        </w:rPr>
        <w:t>12.97</w:t>
      </w:r>
      <w:r>
        <w:rPr>
          <w:rFonts w:hint="eastAsia" w:ascii="仿宋" w:hAnsi="仿宋" w:eastAsia="仿宋"/>
          <w:sz w:val="32"/>
          <w:szCs w:val="32"/>
        </w:rPr>
        <w:t>%；项目支出</w:t>
      </w:r>
      <w:r>
        <w:rPr>
          <w:rFonts w:hint="eastAsia" w:ascii="仿宋" w:hAnsi="仿宋" w:eastAsia="仿宋"/>
          <w:sz w:val="32"/>
          <w:szCs w:val="32"/>
          <w:lang w:val="en-US" w:eastAsia="zh-CN"/>
        </w:rPr>
        <w:t>3911.39</w:t>
      </w:r>
      <w:r>
        <w:rPr>
          <w:rFonts w:hint="eastAsia" w:ascii="仿宋" w:hAnsi="仿宋" w:eastAsia="仿宋"/>
          <w:sz w:val="32"/>
          <w:szCs w:val="32"/>
        </w:rPr>
        <w:t>万元，占</w:t>
      </w:r>
      <w:r>
        <w:rPr>
          <w:rFonts w:hint="eastAsia" w:ascii="仿宋" w:hAnsi="仿宋" w:eastAsia="仿宋"/>
          <w:sz w:val="32"/>
          <w:szCs w:val="32"/>
          <w:lang w:val="en-US" w:eastAsia="zh-CN"/>
        </w:rPr>
        <w:t>87.03</w:t>
      </w:r>
      <w:r>
        <w:rPr>
          <w:rFonts w:hint="eastAsia" w:ascii="仿宋" w:hAnsi="仿宋" w:eastAsia="仿宋"/>
          <w:sz w:val="32"/>
          <w:szCs w:val="32"/>
        </w:rPr>
        <w:t>%。</w:t>
      </w:r>
    </w:p>
    <w:p>
      <w:pPr>
        <w:pStyle w:val="8"/>
        <w:rPr>
          <w:rFonts w:hint="eastAsia" w:ascii="仿宋" w:hAnsi="仿宋" w:eastAsia="仿宋"/>
          <w:sz w:val="32"/>
          <w:szCs w:val="32"/>
        </w:rPr>
      </w:pPr>
      <w:r>
        <w:rPr>
          <w:rFonts w:hint="eastAsia"/>
          <w:lang w:val="en-US" w:eastAsia="zh-CN"/>
        </w:rPr>
        <w:t xml:space="preserve">      </w:t>
      </w:r>
      <w:r>
        <w:drawing>
          <wp:inline distT="0" distB="0" distL="114300" distR="114300">
            <wp:extent cx="4596130" cy="2767330"/>
            <wp:effectExtent l="0" t="0" r="1397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32" w:name="_Toc15396606"/>
      <w:bookmarkStart w:id="33" w:name="_Toc7763"/>
      <w:bookmarkStart w:id="34"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2"/>
      <w:bookmarkEnd w:id="33"/>
      <w:bookmarkEnd w:id="3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w:t>
      </w:r>
      <w:r>
        <w:rPr>
          <w:rFonts w:hint="eastAsia" w:ascii="仿宋" w:hAnsi="仿宋" w:eastAsia="仿宋"/>
          <w:sz w:val="32"/>
          <w:szCs w:val="32"/>
          <w:lang w:eastAsia="zh-CN"/>
        </w:rPr>
        <w:t>入总计</w:t>
      </w:r>
      <w:r>
        <w:rPr>
          <w:rFonts w:hint="eastAsia" w:ascii="仿宋" w:hAnsi="仿宋" w:eastAsia="仿宋"/>
          <w:sz w:val="32"/>
          <w:szCs w:val="32"/>
          <w:lang w:val="en-US" w:eastAsia="zh-CN"/>
        </w:rPr>
        <w:t>2804.77万元</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4494.09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w:t>
      </w:r>
      <w:r>
        <w:rPr>
          <w:rFonts w:hint="eastAsia" w:ascii="仿宋" w:hAnsi="仿宋" w:eastAsia="仿宋"/>
          <w:sz w:val="32"/>
          <w:szCs w:val="32"/>
          <w:lang w:eastAsia="zh-CN"/>
        </w:rPr>
        <w:t>入总计减少</w:t>
      </w:r>
      <w:r>
        <w:rPr>
          <w:rFonts w:hint="eastAsia" w:ascii="仿宋" w:hAnsi="仿宋" w:eastAsia="仿宋"/>
          <w:sz w:val="32"/>
          <w:szCs w:val="32"/>
          <w:lang w:val="en-US" w:eastAsia="zh-CN"/>
        </w:rPr>
        <w:t>33521.63万元</w:t>
      </w:r>
      <w:r>
        <w:rPr>
          <w:rFonts w:hint="eastAsia" w:ascii="仿宋" w:hAnsi="仿宋" w:eastAsia="仿宋"/>
          <w:sz w:val="32"/>
          <w:szCs w:val="32"/>
        </w:rPr>
        <w:t>、下降</w:t>
      </w:r>
      <w:r>
        <w:rPr>
          <w:rFonts w:hint="eastAsia" w:ascii="仿宋" w:hAnsi="仿宋" w:eastAsia="仿宋"/>
          <w:sz w:val="32"/>
          <w:szCs w:val="32"/>
          <w:lang w:val="en-US" w:eastAsia="zh-CN"/>
        </w:rPr>
        <w:t>92.28</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财政拨款</w:t>
      </w:r>
      <w:r>
        <w:rPr>
          <w:rFonts w:hint="eastAsia" w:ascii="仿宋" w:hAnsi="仿宋" w:eastAsia="仿宋"/>
          <w:sz w:val="32"/>
          <w:szCs w:val="32"/>
          <w:lang w:eastAsia="zh-CN"/>
        </w:rPr>
        <w:t>支出总计减少</w:t>
      </w:r>
      <w:r>
        <w:rPr>
          <w:rFonts w:hint="eastAsia" w:ascii="仿宋" w:hAnsi="仿宋" w:eastAsia="仿宋"/>
          <w:sz w:val="32"/>
          <w:szCs w:val="32"/>
          <w:lang w:val="en-US" w:eastAsia="zh-CN"/>
        </w:rPr>
        <w:t>31832.31万元、下降87.63%</w:t>
      </w:r>
      <w:r>
        <w:rPr>
          <w:rFonts w:hint="eastAsia" w:ascii="仿宋" w:hAnsi="仿宋" w:eastAsia="仿宋"/>
          <w:sz w:val="32"/>
          <w:szCs w:val="32"/>
        </w:rPr>
        <w:t>。主要变动原因是</w:t>
      </w:r>
      <w:r>
        <w:rPr>
          <w:rFonts w:hint="eastAsia" w:ascii="仿宋" w:hAnsi="仿宋" w:eastAsia="仿宋"/>
          <w:sz w:val="32"/>
          <w:szCs w:val="32"/>
          <w:lang w:val="en-US" w:eastAsia="zh-CN"/>
        </w:rPr>
        <w:t>2021年交通建设项目收入和支出减少。</w:t>
      </w:r>
    </w:p>
    <w:p>
      <w:pPr>
        <w:pStyle w:val="8"/>
        <w:rPr>
          <w:rFonts w:ascii="仿宋" w:hAnsi="仿宋" w:eastAsia="仿宋"/>
          <w:sz w:val="32"/>
          <w:szCs w:val="32"/>
        </w:rPr>
      </w:pPr>
      <w:r>
        <w:rPr>
          <w:rFonts w:hint="eastAsia"/>
          <w:lang w:val="en-US" w:eastAsia="zh-CN"/>
        </w:rPr>
        <w:t xml:space="preserve">   </w:t>
      </w:r>
      <w:r>
        <w:drawing>
          <wp:inline distT="0" distB="0" distL="114300" distR="114300">
            <wp:extent cx="5041265" cy="2761615"/>
            <wp:effectExtent l="0" t="0" r="698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5041265" cy="2761615"/>
                    </a:xfrm>
                    <a:prstGeom prst="rect">
                      <a:avLst/>
                    </a:prstGeom>
                    <a:noFill/>
                    <a:ln>
                      <a:noFill/>
                    </a:ln>
                  </pic:spPr>
                </pic:pic>
              </a:graphicData>
            </a:graphic>
          </wp:inline>
        </w:drawing>
      </w:r>
    </w:p>
    <w:p>
      <w:pPr>
        <w:pStyle w:val="8"/>
      </w:pPr>
    </w:p>
    <w:p>
      <w:pPr>
        <w:spacing w:line="600" w:lineRule="exact"/>
        <w:ind w:firstLine="960" w:firstLineChars="3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35" w:name="_Toc15377209"/>
      <w:bookmarkStart w:id="36" w:name="_Toc27160"/>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5"/>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4444.09</w:t>
      </w:r>
      <w:r>
        <w:rPr>
          <w:rFonts w:hint="eastAsia" w:ascii="仿宋" w:hAnsi="仿宋" w:eastAsia="仿宋"/>
          <w:sz w:val="32"/>
          <w:szCs w:val="32"/>
        </w:rPr>
        <w:t>万元，占本年支出合计的</w:t>
      </w:r>
      <w:r>
        <w:rPr>
          <w:rFonts w:hint="eastAsia" w:ascii="仿宋" w:hAnsi="仿宋" w:eastAsia="仿宋"/>
          <w:sz w:val="32"/>
          <w:szCs w:val="32"/>
          <w:lang w:val="en-US" w:eastAsia="zh-CN"/>
        </w:rPr>
        <w:t>98.89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10682.31</w:t>
      </w:r>
      <w:r>
        <w:rPr>
          <w:rFonts w:hint="eastAsia" w:ascii="仿宋" w:hAnsi="仿宋" w:eastAsia="仿宋"/>
          <w:sz w:val="32"/>
          <w:szCs w:val="32"/>
        </w:rPr>
        <w:t>万元，下降</w:t>
      </w:r>
      <w:r>
        <w:rPr>
          <w:rFonts w:hint="eastAsia" w:ascii="仿宋" w:hAnsi="仿宋" w:eastAsia="仿宋"/>
          <w:sz w:val="32"/>
          <w:szCs w:val="32"/>
          <w:lang w:val="en-US" w:eastAsia="zh-CN"/>
        </w:rPr>
        <w:t>70.62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交通建设项目支出减少。</w:t>
      </w:r>
    </w:p>
    <w:p>
      <w:pPr>
        <w:pStyle w:val="8"/>
        <w:rPr>
          <w:rFonts w:hint="eastAsia"/>
          <w:lang w:eastAsia="zh-CN"/>
        </w:rPr>
      </w:pPr>
      <w:r>
        <w:rPr>
          <w:rFonts w:hint="eastAsia"/>
          <w:lang w:val="en-US" w:eastAsia="zh-CN"/>
        </w:rPr>
        <w:t xml:space="preserve">      </w:t>
      </w:r>
      <w:r>
        <w:drawing>
          <wp:inline distT="0" distB="0" distL="114300" distR="114300">
            <wp:extent cx="4596130" cy="2767330"/>
            <wp:effectExtent l="0" t="0" r="13970"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596130" cy="2767330"/>
                    </a:xfrm>
                    <a:prstGeom prst="rect">
                      <a:avLst/>
                    </a:prstGeom>
                    <a:noFill/>
                    <a:ln>
                      <a:noFill/>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4444.09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lang w:eastAsia="zh-CN"/>
        </w:rPr>
        <w:t>社会保障和就业</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604.55</w:t>
      </w:r>
      <w:r>
        <w:rPr>
          <w:rFonts w:hint="eastAsia" w:ascii="仿宋" w:hAnsi="仿宋" w:eastAsia="仿宋"/>
          <w:sz w:val="32"/>
          <w:szCs w:val="32"/>
        </w:rPr>
        <w:t>万元，占</w:t>
      </w:r>
      <w:r>
        <w:rPr>
          <w:rFonts w:hint="eastAsia" w:ascii="仿宋" w:hAnsi="仿宋" w:eastAsia="仿宋"/>
          <w:sz w:val="32"/>
          <w:szCs w:val="32"/>
          <w:lang w:val="en-US" w:eastAsia="zh-CN"/>
        </w:rPr>
        <w:t>13.6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eastAsia="zh-CN"/>
        </w:rPr>
        <w:t>卫生健康</w:t>
      </w:r>
      <w:r>
        <w:rPr>
          <w:rFonts w:hint="eastAsia" w:ascii="仿宋" w:hAnsi="仿宋" w:eastAsia="仿宋"/>
          <w:b/>
          <w:sz w:val="32"/>
          <w:szCs w:val="32"/>
        </w:rPr>
        <w:t>（类）</w:t>
      </w:r>
      <w:r>
        <w:rPr>
          <w:rFonts w:hint="eastAsia" w:ascii="仿宋" w:hAnsi="仿宋" w:eastAsia="仿宋"/>
          <w:b w:val="0"/>
          <w:bCs/>
          <w:sz w:val="32"/>
          <w:szCs w:val="32"/>
          <w:lang w:eastAsia="zh-CN"/>
        </w:rPr>
        <w:t>支出</w:t>
      </w:r>
      <w:r>
        <w:rPr>
          <w:rFonts w:hint="eastAsia" w:ascii="仿宋" w:hAnsi="仿宋" w:eastAsia="仿宋"/>
          <w:sz w:val="32"/>
          <w:szCs w:val="32"/>
          <w:lang w:val="en-US" w:eastAsia="zh-CN"/>
        </w:rPr>
        <w:t>21.61</w:t>
      </w:r>
      <w:r>
        <w:rPr>
          <w:rFonts w:hint="eastAsia" w:ascii="仿宋" w:hAnsi="仿宋" w:eastAsia="仿宋"/>
          <w:sz w:val="32"/>
          <w:szCs w:val="32"/>
        </w:rPr>
        <w:t>万元，占</w:t>
      </w:r>
      <w:r>
        <w:rPr>
          <w:rFonts w:hint="eastAsia" w:ascii="仿宋" w:hAnsi="仿宋" w:eastAsia="仿宋"/>
          <w:sz w:val="32"/>
          <w:szCs w:val="32"/>
          <w:lang w:val="en-US" w:eastAsia="zh-CN"/>
        </w:rPr>
        <w:t>0.49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eastAsia="zh-CN"/>
        </w:rPr>
        <w:t>农林水</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1.28</w:t>
      </w:r>
      <w:r>
        <w:rPr>
          <w:rFonts w:hint="eastAsia" w:ascii="仿宋" w:hAnsi="仿宋" w:eastAsia="仿宋"/>
          <w:sz w:val="32"/>
          <w:szCs w:val="32"/>
        </w:rPr>
        <w:t>万元，占</w:t>
      </w:r>
      <w:r>
        <w:rPr>
          <w:rFonts w:hint="eastAsia" w:ascii="仿宋" w:hAnsi="仿宋" w:eastAsia="仿宋"/>
          <w:sz w:val="32"/>
          <w:szCs w:val="32"/>
          <w:lang w:val="en-US" w:eastAsia="zh-CN"/>
        </w:rPr>
        <w:t>0.03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w:t>
      </w:r>
      <w:r>
        <w:rPr>
          <w:rFonts w:hint="eastAsia" w:ascii="仿宋" w:hAnsi="仿宋" w:eastAsia="仿宋"/>
          <w:b/>
          <w:bCs/>
          <w:sz w:val="32"/>
          <w:szCs w:val="32"/>
        </w:rPr>
        <w:t>（类）</w:t>
      </w:r>
      <w:r>
        <w:rPr>
          <w:rFonts w:hint="eastAsia" w:ascii="仿宋" w:hAnsi="仿宋" w:eastAsia="仿宋"/>
          <w:b w:val="0"/>
          <w:bCs w:val="0"/>
          <w:sz w:val="32"/>
          <w:szCs w:val="32"/>
        </w:rPr>
        <w:t>支出</w:t>
      </w:r>
      <w:r>
        <w:rPr>
          <w:rFonts w:hint="eastAsia" w:ascii="仿宋" w:hAnsi="仿宋" w:eastAsia="仿宋"/>
          <w:b w:val="0"/>
          <w:bCs w:val="0"/>
          <w:sz w:val="32"/>
          <w:szCs w:val="32"/>
          <w:lang w:val="en-US" w:eastAsia="zh-CN"/>
        </w:rPr>
        <w:t>3766.91</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84.76</w:t>
      </w:r>
      <w:r>
        <w:rPr>
          <w:rFonts w:ascii="仿宋" w:hAnsi="仿宋" w:eastAsia="仿宋"/>
          <w:b w:val="0"/>
          <w:bCs w:val="0"/>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49.75</w:t>
      </w:r>
      <w:r>
        <w:rPr>
          <w:rFonts w:hint="eastAsia" w:ascii="仿宋" w:hAnsi="仿宋" w:eastAsia="仿宋"/>
          <w:sz w:val="32"/>
          <w:szCs w:val="32"/>
        </w:rPr>
        <w:t>万元，占</w:t>
      </w:r>
      <w:r>
        <w:rPr>
          <w:rFonts w:hint="eastAsia" w:ascii="仿宋" w:hAnsi="仿宋" w:eastAsia="仿宋"/>
          <w:sz w:val="32"/>
          <w:szCs w:val="32"/>
          <w:lang w:val="en-US" w:eastAsia="zh-CN"/>
        </w:rPr>
        <w:t>1.12</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396240</wp:posOffset>
            </wp:positionH>
            <wp:positionV relativeFrom="paragraph">
              <wp:posOffset>99060</wp:posOffset>
            </wp:positionV>
            <wp:extent cx="4182110" cy="2567940"/>
            <wp:effectExtent l="0" t="0" r="8890" b="381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4182110" cy="256794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spacing w:line="600" w:lineRule="exact"/>
        <w:ind w:firstLine="643" w:firstLineChars="200"/>
        <w:rPr>
          <w:rStyle w:val="15"/>
          <w:rFonts w:hint="eastAsia" w:ascii="仿宋" w:hAnsi="仿宋" w:eastAsia="仿宋"/>
          <w:bCs/>
          <w:sz w:val="32"/>
          <w:szCs w:val="32"/>
          <w:lang w:val="en-US" w:eastAsia="zh-CN"/>
        </w:rPr>
      </w:pPr>
      <w:bookmarkStart w:id="41" w:name="_Toc15378460"/>
      <w:bookmarkStart w:id="42" w:name="_Toc15377444"/>
      <w:bookmarkStart w:id="43" w:name="_Toc15377213"/>
      <w:r>
        <w:rPr>
          <w:rStyle w:val="15"/>
          <w:rFonts w:hint="eastAsia" w:ascii="仿宋" w:hAnsi="仿宋" w:eastAsia="仿宋"/>
          <w:bCs/>
          <w:sz w:val="32"/>
          <w:szCs w:val="32"/>
        </w:rPr>
        <w:t>2021年一般公共预算支出决算数为</w:t>
      </w:r>
      <w:r>
        <w:rPr>
          <w:rStyle w:val="15"/>
          <w:rFonts w:hint="eastAsia" w:ascii="仿宋" w:hAnsi="仿宋" w:eastAsia="仿宋"/>
          <w:bCs/>
          <w:sz w:val="32"/>
          <w:szCs w:val="32"/>
          <w:lang w:val="en-US" w:eastAsia="zh-CN"/>
        </w:rPr>
        <w:t>4444.09万元</w:t>
      </w:r>
      <w:r>
        <w:rPr>
          <w:rStyle w:val="15"/>
          <w:rFonts w:hint="eastAsia" w:ascii="仿宋" w:hAnsi="仿宋" w:eastAsia="仿宋"/>
          <w:bCs/>
          <w:sz w:val="32"/>
          <w:szCs w:val="32"/>
        </w:rPr>
        <w:t>。</w:t>
      </w:r>
      <w:r>
        <w:rPr>
          <w:rStyle w:val="15"/>
          <w:rFonts w:hint="eastAsia" w:ascii="仿宋" w:hAnsi="仿宋" w:eastAsia="仿宋"/>
          <w:bCs/>
          <w:sz w:val="32"/>
          <w:szCs w:val="32"/>
          <w:lang w:eastAsia="zh-CN"/>
        </w:rPr>
        <w:t>完成预算</w:t>
      </w:r>
      <w:r>
        <w:rPr>
          <w:rStyle w:val="15"/>
          <w:rFonts w:hint="eastAsia" w:ascii="仿宋" w:hAnsi="仿宋" w:eastAsia="仿宋"/>
          <w:bCs/>
          <w:sz w:val="32"/>
          <w:szCs w:val="32"/>
          <w:lang w:val="en-US" w:eastAsia="zh-CN"/>
        </w:rPr>
        <w:t>100%。</w:t>
      </w:r>
    </w:p>
    <w:p>
      <w:pPr>
        <w:spacing w:line="600" w:lineRule="exact"/>
        <w:ind w:firstLine="643" w:firstLineChars="200"/>
        <w:rPr>
          <w:rStyle w:val="15"/>
          <w:rFonts w:hint="eastAsia" w:ascii="仿宋" w:hAnsi="仿宋" w:eastAsia="仿宋"/>
          <w:bCs/>
          <w:sz w:val="32"/>
          <w:szCs w:val="32"/>
        </w:rPr>
      </w:pPr>
      <w:r>
        <w:rPr>
          <w:rStyle w:val="15"/>
          <w:rFonts w:hint="eastAsia" w:ascii="仿宋" w:hAnsi="仿宋" w:eastAsia="仿宋"/>
          <w:bCs/>
          <w:sz w:val="32"/>
          <w:szCs w:val="32"/>
        </w:rPr>
        <w:t>其中：</w:t>
      </w:r>
      <w:bookmarkEnd w:id="41"/>
      <w:bookmarkEnd w:id="42"/>
      <w:bookmarkEnd w:id="43"/>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社会保障和就业支出（类）行政事业单位养老支出（款）行政单位离退休（项）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11.55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社会保障和就业支出（类）行政事业单位养老支出（款）机关事业单位基本养老保险缴费支出（项）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42.55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p>
    <w:p>
      <w:pPr>
        <w:spacing w:line="600" w:lineRule="exact"/>
        <w:ind w:firstLine="643" w:firstLineChars="200"/>
        <w:rPr>
          <w:rFonts w:hint="default" w:ascii="仿宋" w:hAnsi="仿宋" w:eastAsia="仿宋"/>
          <w:b/>
          <w:sz w:val="32"/>
          <w:szCs w:val="32"/>
          <w:lang w:val="en-US" w:eastAsia="zh-CN"/>
        </w:rPr>
      </w:pPr>
      <w:r>
        <w:rPr>
          <w:rStyle w:val="15"/>
          <w:rFonts w:ascii="仿宋" w:hAnsi="仿宋" w:eastAsia="仿宋"/>
          <w:bCs/>
          <w:sz w:val="32"/>
          <w:szCs w:val="32"/>
        </w:rPr>
        <w:t>3.</w:t>
      </w:r>
      <w:r>
        <w:rPr>
          <w:rStyle w:val="15"/>
          <w:rFonts w:hint="eastAsia" w:ascii="仿宋" w:hAnsi="仿宋" w:eastAsia="仿宋"/>
          <w:bCs/>
          <w:sz w:val="32"/>
          <w:szCs w:val="32"/>
        </w:rPr>
        <w:t>社会保障和就业支出（类）</w:t>
      </w:r>
      <w:r>
        <w:rPr>
          <w:rStyle w:val="15"/>
          <w:rFonts w:hint="eastAsia" w:ascii="仿宋" w:hAnsi="仿宋" w:eastAsia="仿宋"/>
          <w:bCs/>
          <w:sz w:val="32"/>
          <w:szCs w:val="32"/>
          <w:lang w:eastAsia="zh-CN"/>
        </w:rPr>
        <w:t>就业补助</w:t>
      </w:r>
      <w:r>
        <w:rPr>
          <w:rStyle w:val="15"/>
          <w:rFonts w:hint="eastAsia" w:ascii="仿宋" w:hAnsi="仿宋" w:eastAsia="仿宋"/>
          <w:bCs/>
          <w:sz w:val="32"/>
          <w:szCs w:val="32"/>
        </w:rPr>
        <w:t>（款）就业创业服务补贴（项）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0.44</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r>
        <w:rPr>
          <w:rStyle w:val="15"/>
          <w:rFonts w:hint="eastAsia" w:ascii="仿宋" w:hAnsi="仿宋" w:eastAsia="仿宋"/>
          <w:b w:val="0"/>
          <w:bCs/>
          <w:sz w:val="32"/>
          <w:szCs w:val="32"/>
          <w:lang w:val="en-US" w:eastAsia="zh-CN"/>
        </w:rPr>
        <w:t xml:space="preserve">  </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4.</w:t>
      </w:r>
      <w:r>
        <w:rPr>
          <w:rStyle w:val="15"/>
          <w:rFonts w:hint="eastAsia" w:ascii="仿宋" w:hAnsi="仿宋" w:eastAsia="仿宋"/>
          <w:bCs/>
          <w:sz w:val="32"/>
          <w:szCs w:val="32"/>
        </w:rPr>
        <w:t>社会保障和就业支出（类）其他社会保障和就业支出（款）其他社会保障和就业支出（项）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550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Style w:val="15"/>
          <w:rFonts w:hint="eastAsia" w:ascii="仿宋" w:hAnsi="仿宋" w:eastAsia="仿宋"/>
          <w:bCs/>
          <w:sz w:val="32"/>
          <w:szCs w:val="32"/>
        </w:rPr>
        <w:t>卫生健康支出（类）行政事业单位医疗（款）行政单位医疗（项）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12.36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p>
    <w:p>
      <w:pPr>
        <w:spacing w:line="600" w:lineRule="exact"/>
        <w:ind w:firstLine="643" w:firstLineChars="200"/>
        <w:rPr>
          <w:rStyle w:val="15"/>
          <w:rFonts w:hint="eastAsia" w:ascii="仿宋" w:hAnsi="仿宋" w:eastAsia="仿宋"/>
          <w:b w:val="0"/>
          <w:bCs/>
          <w:sz w:val="32"/>
          <w:szCs w:val="32"/>
        </w:rPr>
      </w:pPr>
      <w:r>
        <w:rPr>
          <w:rStyle w:val="15"/>
          <w:rFonts w:ascii="仿宋" w:hAnsi="仿宋" w:eastAsia="仿宋"/>
          <w:bCs/>
          <w:sz w:val="32"/>
          <w:szCs w:val="32"/>
        </w:rPr>
        <w:t>6.</w:t>
      </w:r>
      <w:r>
        <w:rPr>
          <w:rFonts w:hint="eastAsia" w:ascii="仿宋" w:hAnsi="仿宋" w:eastAsia="仿宋"/>
          <w:b/>
          <w:bCs/>
          <w:sz w:val="32"/>
          <w:szCs w:val="32"/>
        </w:rPr>
        <w:t>卫生健康</w:t>
      </w:r>
      <w:r>
        <w:rPr>
          <w:rStyle w:val="15"/>
          <w:rFonts w:hint="eastAsia" w:ascii="仿宋" w:hAnsi="仿宋" w:eastAsia="仿宋"/>
          <w:bCs/>
          <w:sz w:val="32"/>
          <w:szCs w:val="32"/>
        </w:rPr>
        <w:t>支出（类）行政事业单位医疗（款）事业单位医疗（项）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9.25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p>
    <w:p>
      <w:pPr>
        <w:spacing w:line="600"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7</w:t>
      </w:r>
      <w:r>
        <w:rPr>
          <w:rStyle w:val="15"/>
          <w:rFonts w:ascii="仿宋" w:hAnsi="仿宋" w:eastAsia="仿宋"/>
          <w:bCs/>
          <w:sz w:val="32"/>
          <w:szCs w:val="32"/>
        </w:rPr>
        <w:t>.</w:t>
      </w:r>
      <w:r>
        <w:rPr>
          <w:rFonts w:hint="eastAsia" w:ascii="仿宋" w:hAnsi="仿宋" w:eastAsia="仿宋"/>
          <w:b/>
          <w:bCs/>
          <w:sz w:val="32"/>
          <w:szCs w:val="32"/>
          <w:lang w:eastAsia="zh-CN"/>
        </w:rPr>
        <w:t>农林水</w:t>
      </w:r>
      <w:r>
        <w:rPr>
          <w:rStyle w:val="15"/>
          <w:rFonts w:hint="eastAsia" w:ascii="仿宋" w:hAnsi="仿宋" w:eastAsia="仿宋"/>
          <w:bCs/>
          <w:sz w:val="32"/>
          <w:szCs w:val="32"/>
        </w:rPr>
        <w:t>支出（类）</w:t>
      </w:r>
      <w:r>
        <w:rPr>
          <w:rStyle w:val="15"/>
          <w:rFonts w:hint="eastAsia" w:ascii="仿宋" w:hAnsi="仿宋" w:eastAsia="仿宋"/>
          <w:bCs/>
          <w:sz w:val="32"/>
          <w:szCs w:val="32"/>
          <w:lang w:eastAsia="zh-CN"/>
        </w:rPr>
        <w:t>扶贫</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其他扶贫支出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1.28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rPr>
        <w:t>。</w:t>
      </w:r>
    </w:p>
    <w:p>
      <w:pPr>
        <w:spacing w:line="600" w:lineRule="exact"/>
        <w:ind w:firstLine="64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8.交通运输支出（类）公路水路运输（款）行政运行（项）：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283.63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100.68</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1.91万元。</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Style w:val="15"/>
          <w:rFonts w:hint="eastAsia" w:ascii="仿宋" w:hAnsi="仿宋" w:eastAsia="仿宋" w:cs="Times New Roman"/>
          <w:b w:val="0"/>
          <w:bCs/>
          <w:kern w:val="2"/>
          <w:sz w:val="32"/>
          <w:szCs w:val="32"/>
          <w:lang w:val="en-US" w:eastAsia="zh-CN" w:bidi="ar-SA"/>
        </w:rPr>
      </w:pPr>
      <w:r>
        <w:rPr>
          <w:rFonts w:hint="eastAsia" w:ascii="仿宋" w:hAnsi="仿宋" w:eastAsia="仿宋"/>
          <w:b/>
          <w:sz w:val="32"/>
          <w:szCs w:val="32"/>
          <w:lang w:val="en-US" w:eastAsia="zh-CN"/>
        </w:rPr>
        <w:t>9.交通运输支出（类）公路水路运输（款）公路建设（项）：</w:t>
      </w:r>
      <w:r>
        <w:rPr>
          <w:rStyle w:val="15"/>
          <w:rFonts w:hint="eastAsia" w:ascii="仿宋" w:hAnsi="仿宋" w:eastAsia="仿宋" w:cs="Times New Roman"/>
          <w:b w:val="0"/>
          <w:bCs/>
          <w:kern w:val="2"/>
          <w:sz w:val="32"/>
          <w:szCs w:val="32"/>
          <w:lang w:val="en-US" w:eastAsia="zh-CN" w:bidi="ar-SA"/>
        </w:rPr>
        <w:t>支出决算为329.85万元，完成预算3298.5%，决算数大于预算数的主要原因是上年有结余资金319.85万元。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10.交通运输支出（类）公路水路运输（款）公路养护（项）：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589</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1472.5</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549万元。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11.交通运输支出（类）公路水路运输（款）海事管理（项）：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等</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lang w:val="en-US" w:eastAsia="zh-CN"/>
        </w:rPr>
        <w:t>。</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12 .交通运输支出（类）公路水路运输（款）取消政府还贷二级公路收费专项支出（项）：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284.8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159.11</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105.8万元。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13 .交通运输支出（类）公路水路运输（款）其他公路水路运输支出（项）：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43.07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等</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lang w:val="en-US" w:eastAsia="zh-CN"/>
        </w:rPr>
        <w:t>。</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14 .交通运输支出（类）成品油价格改革对交通运输的补贴（款）对城市公交的补贴（项）：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71.26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1750.86</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67.19万元。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15 .交通运输支出（类）成品油价格改革对交通运输的补贴（款）对农村道路客运的补贴（项）：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1025.37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150.94</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346.05万元。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16 .交通运输支出（类）成品油价格改革对交通运输的补贴（款）成品油价格改革补贴其他支出（项）：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91.43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115.28</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12.12万元。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17 .交通运输支出（类）车辆购置税支出（款）车辆购置税用于公路等基础设施建设支出（项）：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57.4</w:t>
      </w:r>
      <w:r>
        <w:rPr>
          <w:rStyle w:val="15"/>
          <w:rFonts w:hint="eastAsia" w:ascii="仿宋" w:hAnsi="仿宋" w:eastAsia="仿宋"/>
          <w:b w:val="0"/>
          <w:bCs/>
          <w:sz w:val="32"/>
          <w:szCs w:val="32"/>
        </w:rPr>
        <w:t>万元，</w:t>
      </w:r>
      <w:r>
        <w:rPr>
          <w:rStyle w:val="15"/>
          <w:rFonts w:hint="eastAsia" w:ascii="仿宋" w:hAnsi="仿宋" w:eastAsia="仿宋"/>
          <w:b w:val="0"/>
          <w:bCs/>
          <w:sz w:val="32"/>
          <w:szCs w:val="32"/>
          <w:lang w:eastAsia="zh-CN"/>
        </w:rPr>
        <w:t>预算金额为</w:t>
      </w:r>
      <w:r>
        <w:rPr>
          <w:rStyle w:val="15"/>
          <w:rFonts w:hint="eastAsia" w:ascii="仿宋" w:hAnsi="仿宋" w:eastAsia="仿宋"/>
          <w:b w:val="0"/>
          <w:bCs/>
          <w:sz w:val="32"/>
          <w:szCs w:val="32"/>
          <w:lang w:val="en-US" w:eastAsia="zh-CN"/>
        </w:rPr>
        <w:t>0万元，完成预算100%，</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57.4万元。</w:t>
      </w:r>
    </w:p>
    <w:p>
      <w:p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18 .交通运输支出（类）车辆购置税支出（款）车辆购置税用于农村公路建设支出（项）：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610.6</w:t>
      </w:r>
      <w:r>
        <w:rPr>
          <w:rStyle w:val="15"/>
          <w:rFonts w:hint="eastAsia" w:ascii="仿宋" w:hAnsi="仿宋" w:eastAsia="仿宋"/>
          <w:b w:val="0"/>
          <w:bCs/>
          <w:sz w:val="32"/>
          <w:szCs w:val="32"/>
        </w:rPr>
        <w:t>万元，</w:t>
      </w:r>
      <w:r>
        <w:rPr>
          <w:rStyle w:val="15"/>
          <w:rFonts w:hint="eastAsia" w:ascii="仿宋" w:hAnsi="仿宋" w:eastAsia="仿宋"/>
          <w:b w:val="0"/>
          <w:bCs/>
          <w:sz w:val="32"/>
          <w:szCs w:val="32"/>
          <w:lang w:eastAsia="zh-CN"/>
        </w:rPr>
        <w:t>预算金额为</w:t>
      </w:r>
      <w:r>
        <w:rPr>
          <w:rStyle w:val="15"/>
          <w:rFonts w:hint="eastAsia" w:ascii="仿宋" w:hAnsi="仿宋" w:eastAsia="仿宋"/>
          <w:b w:val="0"/>
          <w:bCs/>
          <w:sz w:val="32"/>
          <w:szCs w:val="32"/>
          <w:lang w:val="en-US" w:eastAsia="zh-CN"/>
        </w:rPr>
        <w:t>610.6万元，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等</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lang w:val="en-US" w:eastAsia="zh-CN"/>
        </w:rPr>
        <w:t>。</w:t>
      </w:r>
    </w:p>
    <w:p>
      <w:pPr>
        <w:numPr>
          <w:ilvl w:val="0"/>
          <w:numId w:val="0"/>
        </w:num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19.交通运输支出（类）其他交通运输支出（款） 公共交通运营补助（项）：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140</w:t>
      </w:r>
      <w:r>
        <w:rPr>
          <w:rStyle w:val="15"/>
          <w:rFonts w:hint="eastAsia" w:ascii="仿宋" w:hAnsi="仿宋" w:eastAsia="仿宋"/>
          <w:b w:val="0"/>
          <w:bCs/>
          <w:sz w:val="32"/>
          <w:szCs w:val="32"/>
        </w:rPr>
        <w:t>万元，</w:t>
      </w:r>
      <w:r>
        <w:rPr>
          <w:rStyle w:val="15"/>
          <w:rFonts w:hint="eastAsia" w:ascii="仿宋" w:hAnsi="仿宋" w:eastAsia="仿宋"/>
          <w:b w:val="0"/>
          <w:bCs/>
          <w:sz w:val="32"/>
          <w:szCs w:val="32"/>
          <w:lang w:eastAsia="zh-CN"/>
        </w:rPr>
        <w:t>预算金额为</w:t>
      </w:r>
      <w:r>
        <w:rPr>
          <w:rStyle w:val="15"/>
          <w:rFonts w:hint="eastAsia" w:ascii="仿宋" w:hAnsi="仿宋" w:eastAsia="仿宋"/>
          <w:b w:val="0"/>
          <w:bCs/>
          <w:sz w:val="32"/>
          <w:szCs w:val="32"/>
          <w:lang w:val="en-US" w:eastAsia="zh-CN"/>
        </w:rPr>
        <w:t>140万元，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等</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lang w:val="en-US" w:eastAsia="zh-CN"/>
        </w:rPr>
        <w:t>。</w:t>
      </w:r>
    </w:p>
    <w:p>
      <w:pPr>
        <w:numPr>
          <w:ilvl w:val="0"/>
          <w:numId w:val="0"/>
        </w:numPr>
        <w:ind w:firstLine="643" w:firstLineChars="200"/>
        <w:rPr>
          <w:rStyle w:val="15"/>
          <w:rFonts w:hint="eastAsia" w:ascii="仿宋" w:hAnsi="仿宋" w:eastAsia="仿宋"/>
          <w:b w:val="0"/>
          <w:bCs/>
          <w:sz w:val="32"/>
          <w:szCs w:val="32"/>
          <w:lang w:val="en-US" w:eastAsia="zh-CN"/>
        </w:rPr>
      </w:pPr>
      <w:r>
        <w:rPr>
          <w:rFonts w:hint="eastAsia" w:ascii="仿宋" w:hAnsi="仿宋" w:eastAsia="仿宋"/>
          <w:b/>
          <w:sz w:val="32"/>
          <w:szCs w:val="32"/>
          <w:lang w:val="en-US" w:eastAsia="zh-CN"/>
        </w:rPr>
        <w:t>20.交通运输支出（类）其他交通运输支出（款） 其他交通运输支出（项）：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230.5</w:t>
      </w:r>
      <w:r>
        <w:rPr>
          <w:rStyle w:val="15"/>
          <w:rFonts w:hint="eastAsia" w:ascii="仿宋" w:hAnsi="仿宋" w:eastAsia="仿宋"/>
          <w:b w:val="0"/>
          <w:bCs/>
          <w:sz w:val="32"/>
          <w:szCs w:val="32"/>
        </w:rPr>
        <w:t>万元，，</w:t>
      </w:r>
      <w:r>
        <w:rPr>
          <w:rStyle w:val="15"/>
          <w:rFonts w:hint="eastAsia" w:ascii="仿宋" w:hAnsi="仿宋" w:eastAsia="仿宋"/>
          <w:b w:val="0"/>
          <w:bCs/>
          <w:sz w:val="32"/>
          <w:szCs w:val="32"/>
          <w:lang w:eastAsia="zh-CN"/>
        </w:rPr>
        <w:t>预算金额为</w:t>
      </w:r>
      <w:r>
        <w:rPr>
          <w:rStyle w:val="15"/>
          <w:rFonts w:hint="eastAsia" w:ascii="仿宋" w:hAnsi="仿宋" w:eastAsia="仿宋"/>
          <w:b w:val="0"/>
          <w:bCs/>
          <w:sz w:val="32"/>
          <w:szCs w:val="32"/>
          <w:lang w:val="en-US" w:eastAsia="zh-CN"/>
        </w:rPr>
        <w:t>0.5万元，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46100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大</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的主要原因是上年有结余资金</w:t>
      </w:r>
      <w:r>
        <w:rPr>
          <w:rStyle w:val="15"/>
          <w:rFonts w:hint="eastAsia" w:ascii="仿宋" w:hAnsi="仿宋" w:eastAsia="仿宋"/>
          <w:b w:val="0"/>
          <w:bCs/>
          <w:sz w:val="32"/>
          <w:szCs w:val="32"/>
          <w:lang w:val="en-US" w:eastAsia="zh-CN"/>
        </w:rPr>
        <w:t>230万元。</w:t>
      </w:r>
    </w:p>
    <w:p>
      <w:pPr>
        <w:numPr>
          <w:ilvl w:val="0"/>
          <w:numId w:val="0"/>
        </w:numPr>
        <w:ind w:firstLine="643" w:firstLineChars="200"/>
        <w:rPr>
          <w:rFonts w:hint="default"/>
          <w:lang w:val="en-US" w:eastAsia="zh-CN"/>
        </w:rPr>
      </w:pPr>
      <w:r>
        <w:rPr>
          <w:rFonts w:hint="eastAsia" w:ascii="仿宋" w:hAnsi="仿宋" w:eastAsia="仿宋"/>
          <w:b/>
          <w:sz w:val="32"/>
          <w:szCs w:val="32"/>
          <w:lang w:val="en-US" w:eastAsia="zh-CN"/>
        </w:rPr>
        <w:t>21.住房保障支出（类）住房改革支出（款）住房公积金（项）：</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49.75</w:t>
      </w:r>
      <w:r>
        <w:rPr>
          <w:rStyle w:val="15"/>
          <w:rFonts w:hint="eastAsia" w:ascii="仿宋" w:hAnsi="仿宋" w:eastAsia="仿宋"/>
          <w:b w:val="0"/>
          <w:bCs/>
          <w:sz w:val="32"/>
          <w:szCs w:val="32"/>
        </w:rPr>
        <w:t>万元，</w:t>
      </w:r>
      <w:r>
        <w:rPr>
          <w:rStyle w:val="15"/>
          <w:rFonts w:hint="eastAsia" w:ascii="仿宋" w:hAnsi="仿宋" w:eastAsia="仿宋"/>
          <w:b w:val="0"/>
          <w:bCs/>
          <w:sz w:val="32"/>
          <w:szCs w:val="32"/>
          <w:lang w:eastAsia="zh-CN"/>
        </w:rPr>
        <w:t>预算金额为</w:t>
      </w:r>
      <w:r>
        <w:rPr>
          <w:rStyle w:val="15"/>
          <w:rFonts w:hint="eastAsia" w:ascii="仿宋" w:hAnsi="仿宋" w:eastAsia="仿宋"/>
          <w:b w:val="0"/>
          <w:bCs/>
          <w:sz w:val="32"/>
          <w:szCs w:val="32"/>
          <w:lang w:val="en-US" w:eastAsia="zh-CN"/>
        </w:rPr>
        <w:t>49.75万元，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等</w:t>
      </w:r>
      <w:r>
        <w:rPr>
          <w:rStyle w:val="15"/>
          <w:rFonts w:hint="eastAsia" w:ascii="仿宋" w:hAnsi="仿宋" w:eastAsia="仿宋"/>
          <w:b w:val="0"/>
          <w:bCs/>
          <w:sz w:val="32"/>
          <w:szCs w:val="32"/>
        </w:rPr>
        <w:t>于预算数</w:t>
      </w:r>
      <w:r>
        <w:rPr>
          <w:rStyle w:val="15"/>
          <w:rFonts w:hint="eastAsia" w:ascii="仿宋" w:hAnsi="仿宋" w:eastAsia="仿宋"/>
          <w:b w:val="0"/>
          <w:bCs/>
          <w:sz w:val="32"/>
          <w:szCs w:val="32"/>
          <w:lang w:eastAsia="zh-CN"/>
        </w:rPr>
        <w:t>的主要原因是严格按预算支出</w:t>
      </w:r>
      <w:r>
        <w:rPr>
          <w:rStyle w:val="15"/>
          <w:rFonts w:hint="eastAsia" w:ascii="仿宋" w:hAnsi="仿宋" w:eastAsia="仿宋"/>
          <w:b w:val="0"/>
          <w:bCs/>
          <w:sz w:val="32"/>
          <w:szCs w:val="32"/>
          <w:lang w:val="en-US" w:eastAsia="zh-CN"/>
        </w:rPr>
        <w:t>。</w:t>
      </w:r>
    </w:p>
    <w:p>
      <w:pPr>
        <w:tabs>
          <w:tab w:val="right" w:pos="8306"/>
        </w:tabs>
        <w:spacing w:line="600" w:lineRule="exact"/>
        <w:ind w:firstLine="640"/>
        <w:outlineLvl w:val="1"/>
        <w:rPr>
          <w:rStyle w:val="26"/>
        </w:rPr>
      </w:pPr>
      <w:bookmarkStart w:id="44" w:name="_Toc15377214"/>
      <w:bookmarkStart w:id="45" w:name="_Toc29514"/>
      <w:bookmarkStart w:id="4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4"/>
      <w:bookmarkEnd w:id="45"/>
      <w:bookmarkEnd w:id="46"/>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582.71</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491.21</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w:t>
      </w:r>
      <w:r>
        <w:rPr>
          <w:rFonts w:hint="eastAsia" w:ascii="仿宋" w:hAnsi="仿宋" w:eastAsia="仿宋"/>
          <w:sz w:val="32"/>
          <w:szCs w:val="32"/>
          <w:lang w:eastAsia="zh-CN"/>
        </w:rPr>
        <w:t>社会保障缴费</w:t>
      </w:r>
      <w:r>
        <w:rPr>
          <w:rFonts w:hint="eastAsia" w:ascii="仿宋" w:hAnsi="仿宋" w:eastAsia="仿宋"/>
          <w:sz w:val="32"/>
          <w:szCs w:val="32"/>
        </w:rPr>
        <w:t>、住房公积金、</w:t>
      </w:r>
      <w:r>
        <w:rPr>
          <w:rFonts w:hint="eastAsia" w:ascii="仿宋" w:hAnsi="仿宋" w:eastAsia="仿宋"/>
          <w:sz w:val="32"/>
          <w:szCs w:val="32"/>
          <w:lang w:eastAsia="zh-CN"/>
        </w:rPr>
        <w:t>生活补助、奖励金、</w:t>
      </w:r>
      <w:r>
        <w:rPr>
          <w:rFonts w:hint="eastAsia" w:ascii="仿宋" w:hAnsi="仿宋" w:eastAsia="仿宋"/>
          <w:sz w:val="32"/>
          <w:szCs w:val="32"/>
        </w:rPr>
        <w:t>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91.5</w:t>
      </w:r>
      <w:r>
        <w:rPr>
          <w:rFonts w:hint="eastAsia" w:ascii="仿宋" w:hAnsi="仿宋" w:eastAsia="仿宋"/>
          <w:sz w:val="32"/>
          <w:szCs w:val="32"/>
        </w:rPr>
        <w:t>万元，主要包括：办公费、印刷费、咨询费、水费、电费、邮电费、差旅费、维修（护）费、租赁费、培训费、公务接待费、劳务费、委托业务费、工会经费、福利费、公务用车运行维护费、其他交通费、其他商品和服务支出等。</w:t>
      </w:r>
    </w:p>
    <w:p>
      <w:pPr>
        <w:spacing w:line="600" w:lineRule="exact"/>
        <w:ind w:firstLine="640"/>
        <w:outlineLvl w:val="1"/>
        <w:rPr>
          <w:rFonts w:hint="eastAsia" w:ascii="黑体" w:eastAsia="黑体"/>
          <w:sz w:val="32"/>
          <w:szCs w:val="32"/>
          <w:lang w:eastAsia="zh-CN"/>
        </w:rPr>
      </w:pPr>
      <w:bookmarkStart w:id="47" w:name="_Toc30053"/>
      <w:r>
        <w:rPr>
          <w:rFonts w:hint="eastAsia" w:ascii="黑体" w:eastAsia="黑体"/>
          <w:sz w:val="32"/>
          <w:szCs w:val="32"/>
          <w:lang w:eastAsia="zh-CN"/>
        </w:rPr>
        <w:t>七、一般公共预算财政拨款项目支出决算情况说明</w:t>
      </w:r>
      <w:bookmarkEnd w:id="47"/>
    </w:p>
    <w:p>
      <w:pPr>
        <w:spacing w:line="600" w:lineRule="exact"/>
        <w:ind w:firstLine="645"/>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支出3861.39万元，</w:t>
      </w:r>
      <w:r>
        <w:rPr>
          <w:rFonts w:hint="eastAsia" w:ascii="仿宋" w:hAnsi="仿宋" w:eastAsia="仿宋"/>
          <w:color w:val="000000"/>
          <w:sz w:val="32"/>
          <w:szCs w:val="32"/>
          <w:lang w:eastAsia="zh-CN"/>
        </w:rPr>
        <w:t>其中：</w:t>
      </w:r>
    </w:p>
    <w:p>
      <w:pPr>
        <w:spacing w:line="600" w:lineRule="exact"/>
        <w:ind w:firstLine="640"/>
        <w:rPr>
          <w:rFonts w:hint="eastAsia" w:ascii="仿宋" w:hAnsi="仿宋" w:eastAsia="仿宋"/>
          <w:color w:val="000000"/>
          <w:sz w:val="32"/>
          <w:szCs w:val="32"/>
          <w:lang w:eastAsia="zh-CN"/>
        </w:rPr>
      </w:pP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3861.39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包括基础设施建设、其他资本性支出、对企业补助支出、费用补贴支出、其他对企业补助</w:t>
      </w:r>
      <w:r>
        <w:rPr>
          <w:rFonts w:hint="eastAsia" w:ascii="仿宋" w:hAnsi="仿宋" w:eastAsia="仿宋"/>
          <w:color w:val="000000"/>
          <w:sz w:val="32"/>
          <w:szCs w:val="32"/>
          <w:lang w:eastAsia="zh-CN"/>
        </w:rPr>
        <w:t>。</w:t>
      </w:r>
    </w:p>
    <w:p>
      <w:pPr>
        <w:spacing w:line="600" w:lineRule="exact"/>
        <w:ind w:firstLine="640"/>
        <w:outlineLvl w:val="1"/>
        <w:rPr>
          <w:rStyle w:val="26"/>
          <w:rFonts w:ascii="黑体" w:hAnsi="黑体" w:eastAsia="黑体"/>
          <w:b w:val="0"/>
        </w:rPr>
      </w:pPr>
      <w:bookmarkStart w:id="48" w:name="_Toc15396609"/>
      <w:bookmarkStart w:id="49" w:name="_Toc15377215"/>
      <w:bookmarkStart w:id="50" w:name="_Toc11372"/>
      <w:r>
        <w:rPr>
          <w:rFonts w:hint="eastAsia" w:ascii="黑体" w:eastAsia="黑体"/>
          <w:sz w:val="32"/>
          <w:szCs w:val="32"/>
          <w:lang w:eastAsia="zh-CN"/>
        </w:rPr>
        <w:t>八</w:t>
      </w:r>
      <w:r>
        <w:rPr>
          <w:rFonts w:hint="eastAsia" w:ascii="黑体" w:eastAsia="黑体"/>
          <w:sz w:val="32"/>
          <w:szCs w:val="32"/>
        </w:rPr>
        <w:t>、</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8"/>
      <w:bookmarkEnd w:id="49"/>
      <w:bookmarkEnd w:id="50"/>
    </w:p>
    <w:p>
      <w:pPr>
        <w:spacing w:line="600" w:lineRule="exact"/>
        <w:ind w:firstLine="640"/>
        <w:outlineLvl w:val="2"/>
        <w:rPr>
          <w:rFonts w:ascii="仿宋" w:hAnsi="仿宋" w:eastAsia="仿宋"/>
          <w:b/>
          <w:sz w:val="32"/>
          <w:szCs w:val="32"/>
        </w:rPr>
      </w:pPr>
      <w:bookmarkStart w:id="51" w:name="_Toc15377216"/>
      <w:r>
        <w:rPr>
          <w:rFonts w:hint="eastAsia" w:ascii="仿宋" w:hAnsi="仿宋" w:eastAsia="仿宋"/>
          <w:b/>
          <w:sz w:val="32"/>
          <w:szCs w:val="32"/>
        </w:rPr>
        <w:t>（一）“三公”经费财政拨款支出决算总体情况说明</w:t>
      </w:r>
      <w:bookmarkEnd w:id="51"/>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8.07</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b w:val="0"/>
          <w:bCs w:val="0"/>
          <w:color w:val="auto"/>
          <w:sz w:val="32"/>
          <w:szCs w:val="32"/>
          <w:highlight w:val="none"/>
        </w:rPr>
        <w:t>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20</w:t>
      </w:r>
      <w:r>
        <w:rPr>
          <w:rFonts w:hint="eastAsia" w:ascii="仿宋_GB2312" w:eastAsia="仿宋_GB2312"/>
          <w:b w:val="0"/>
          <w:bCs w:val="0"/>
          <w:color w:val="auto"/>
          <w:sz w:val="32"/>
          <w:szCs w:val="32"/>
          <w:highlight w:val="none"/>
        </w:rPr>
        <w:t>年减少</w:t>
      </w:r>
      <w:r>
        <w:rPr>
          <w:rFonts w:hint="eastAsia" w:ascii="仿宋_GB2312" w:eastAsia="仿宋_GB2312"/>
          <w:b w:val="0"/>
          <w:bCs w:val="0"/>
          <w:color w:val="auto"/>
          <w:sz w:val="32"/>
          <w:szCs w:val="32"/>
          <w:highlight w:val="none"/>
          <w:lang w:val="en-US" w:eastAsia="zh-CN"/>
        </w:rPr>
        <w:t>0.09</w:t>
      </w:r>
      <w:r>
        <w:rPr>
          <w:rFonts w:hint="eastAsia" w:ascii="仿宋_GB2312" w:eastAsia="仿宋_GB2312"/>
          <w:b w:val="0"/>
          <w:bCs w:val="0"/>
          <w:color w:val="auto"/>
          <w:sz w:val="32"/>
          <w:szCs w:val="32"/>
          <w:highlight w:val="none"/>
        </w:rPr>
        <w:t>万元，下降</w:t>
      </w:r>
      <w:r>
        <w:rPr>
          <w:rFonts w:hint="eastAsia" w:ascii="仿宋_GB2312" w:eastAsia="仿宋_GB2312"/>
          <w:b w:val="0"/>
          <w:bCs w:val="0"/>
          <w:color w:val="auto"/>
          <w:sz w:val="32"/>
          <w:szCs w:val="32"/>
          <w:highlight w:val="none"/>
          <w:lang w:val="en-US" w:eastAsia="zh-CN"/>
        </w:rPr>
        <w:t>1.1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eastAsia="zh-CN"/>
        </w:rPr>
        <w:t>厉行节约，缩减开支</w:t>
      </w:r>
      <w:r>
        <w:rPr>
          <w:rFonts w:hint="eastAsia" w:ascii="仿宋" w:hAnsi="仿宋" w:eastAsia="仿宋"/>
          <w:b w:val="0"/>
          <w:bCs w:val="0"/>
          <w:color w:val="auto"/>
          <w:sz w:val="32"/>
          <w:szCs w:val="32"/>
          <w:highlight w:val="none"/>
          <w:lang w:eastAsia="zh-CN"/>
        </w:rPr>
        <w:t>。</w:t>
      </w:r>
      <w:r>
        <w:rPr>
          <w:rFonts w:hint="eastAsia" w:ascii="仿宋" w:hAnsi="仿宋" w:eastAsia="仿宋"/>
          <w:sz w:val="32"/>
          <w:szCs w:val="32"/>
        </w:rPr>
        <w:t>决算数与预算数持平的主要原因是</w:t>
      </w:r>
      <w:r>
        <w:rPr>
          <w:rFonts w:hint="eastAsia" w:ascii="仿宋" w:hAnsi="仿宋" w:eastAsia="仿宋"/>
          <w:sz w:val="32"/>
          <w:szCs w:val="32"/>
          <w:lang w:eastAsia="zh-CN"/>
        </w:rPr>
        <w:t>严格按照预算执行</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2" w:name="_Toc15377217"/>
      <w:r>
        <w:rPr>
          <w:rFonts w:hint="eastAsia" w:ascii="仿宋" w:hAnsi="仿宋" w:eastAsia="仿宋"/>
          <w:b/>
          <w:sz w:val="32"/>
          <w:szCs w:val="32"/>
        </w:rPr>
        <w:t>（二）“三公”经费财政拨款支出决算具体情况说明</w:t>
      </w:r>
      <w:bookmarkEnd w:id="52"/>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8.07</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b w:val="0"/>
          <w:bCs w:val="0"/>
          <w:color w:val="auto"/>
          <w:sz w:val="32"/>
          <w:szCs w:val="32"/>
          <w:highlight w:val="none"/>
        </w:rPr>
        <w:t>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20</w:t>
      </w:r>
      <w:r>
        <w:rPr>
          <w:rFonts w:hint="eastAsia" w:ascii="仿宋_GB2312" w:eastAsia="仿宋_GB2312"/>
          <w:b w:val="0"/>
          <w:bCs w:val="0"/>
          <w:color w:val="auto"/>
          <w:sz w:val="32"/>
          <w:szCs w:val="32"/>
          <w:highlight w:val="none"/>
        </w:rPr>
        <w:t>年减少</w:t>
      </w:r>
      <w:r>
        <w:rPr>
          <w:rFonts w:hint="eastAsia" w:ascii="仿宋_GB2312" w:eastAsia="仿宋_GB2312"/>
          <w:b w:val="0"/>
          <w:bCs w:val="0"/>
          <w:color w:val="auto"/>
          <w:sz w:val="32"/>
          <w:szCs w:val="32"/>
          <w:highlight w:val="none"/>
          <w:lang w:val="en-US" w:eastAsia="zh-CN"/>
        </w:rPr>
        <w:t>0.09</w:t>
      </w:r>
      <w:r>
        <w:rPr>
          <w:rFonts w:hint="eastAsia" w:ascii="仿宋_GB2312" w:eastAsia="仿宋_GB2312"/>
          <w:b w:val="0"/>
          <w:bCs w:val="0"/>
          <w:color w:val="auto"/>
          <w:sz w:val="32"/>
          <w:szCs w:val="32"/>
          <w:highlight w:val="none"/>
        </w:rPr>
        <w:t>万元，下降</w:t>
      </w:r>
      <w:r>
        <w:rPr>
          <w:rFonts w:hint="eastAsia" w:ascii="仿宋_GB2312" w:eastAsia="仿宋_GB2312"/>
          <w:b w:val="0"/>
          <w:bCs w:val="0"/>
          <w:color w:val="auto"/>
          <w:sz w:val="32"/>
          <w:szCs w:val="32"/>
          <w:highlight w:val="none"/>
          <w:lang w:val="en-US" w:eastAsia="zh-CN"/>
        </w:rPr>
        <w:t>1.1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eastAsia="zh-CN"/>
        </w:rPr>
        <w:t>厉行节约，缩减开支</w:t>
      </w:r>
      <w:r>
        <w:rPr>
          <w:rFonts w:hint="eastAsia" w:ascii="仿宋" w:hAnsi="仿宋" w:eastAsia="仿宋"/>
          <w:b w:val="0"/>
          <w:bCs w:val="0"/>
          <w:color w:val="auto"/>
          <w:sz w:val="32"/>
          <w:szCs w:val="32"/>
          <w:highlight w:val="none"/>
          <w:lang w:eastAsia="zh-CN"/>
        </w:rPr>
        <w:t>。</w:t>
      </w:r>
      <w:r>
        <w:rPr>
          <w:rFonts w:hint="eastAsia" w:ascii="仿宋" w:hAnsi="仿宋" w:eastAsia="仿宋"/>
          <w:sz w:val="32"/>
          <w:szCs w:val="32"/>
          <w:lang w:eastAsia="zh-CN"/>
        </w:rPr>
        <w:t>其中</w:t>
      </w:r>
      <w:r>
        <w:rPr>
          <w:rFonts w:hint="eastAsia" w:ascii="仿宋" w:hAnsi="仿宋" w:eastAsia="仿宋"/>
          <w:sz w:val="32"/>
          <w:szCs w:val="32"/>
        </w:rPr>
        <w:t>，因公出国（境）费支出决算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5</w:t>
      </w:r>
      <w:r>
        <w:rPr>
          <w:rFonts w:hint="eastAsia" w:ascii="仿宋" w:hAnsi="仿宋" w:eastAsia="仿宋"/>
          <w:sz w:val="32"/>
          <w:szCs w:val="32"/>
        </w:rPr>
        <w:t>万元，占</w:t>
      </w:r>
      <w:r>
        <w:rPr>
          <w:rFonts w:hint="eastAsia" w:ascii="仿宋" w:hAnsi="仿宋" w:eastAsia="仿宋"/>
          <w:sz w:val="32"/>
          <w:szCs w:val="32"/>
          <w:lang w:val="en-US" w:eastAsia="zh-CN"/>
        </w:rPr>
        <w:t>61.96</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3.07</w:t>
      </w:r>
      <w:r>
        <w:rPr>
          <w:rFonts w:hint="eastAsia" w:ascii="仿宋" w:hAnsi="仿宋" w:eastAsia="仿宋"/>
          <w:sz w:val="32"/>
          <w:szCs w:val="32"/>
        </w:rPr>
        <w:t>万元，占</w:t>
      </w:r>
      <w:r>
        <w:rPr>
          <w:rFonts w:hint="eastAsia" w:ascii="仿宋" w:hAnsi="仿宋" w:eastAsia="仿宋"/>
          <w:sz w:val="32"/>
          <w:szCs w:val="32"/>
          <w:lang w:val="en-US" w:eastAsia="zh-CN"/>
        </w:rPr>
        <w:t>38.04</w:t>
      </w:r>
      <w:r>
        <w:rPr>
          <w:rFonts w:ascii="仿宋" w:hAnsi="仿宋" w:eastAsia="仿宋"/>
          <w:sz w:val="32"/>
          <w:szCs w:val="32"/>
        </w:rPr>
        <w:t>%</w:t>
      </w:r>
      <w:r>
        <w:rPr>
          <w:rFonts w:hint="eastAsia" w:ascii="仿宋" w:hAnsi="仿宋" w:eastAsia="仿宋"/>
          <w:sz w:val="32"/>
          <w:szCs w:val="32"/>
        </w:rPr>
        <w:t>。具体情况如下：</w:t>
      </w:r>
    </w:p>
    <w:p>
      <w:pPr>
        <w:pStyle w:val="8"/>
      </w:pPr>
      <w:r>
        <w:rPr>
          <w:rFonts w:hint="eastAsia"/>
          <w:lang w:val="en-US" w:eastAsia="zh-CN"/>
        </w:rPr>
        <w:t xml:space="preserve">      </w:t>
      </w:r>
      <w:r>
        <w:drawing>
          <wp:inline distT="0" distB="0" distL="114300" distR="114300">
            <wp:extent cx="4596130" cy="2767330"/>
            <wp:effectExtent l="0" t="0" r="13970"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596130" cy="2767330"/>
                    </a:xfrm>
                    <a:prstGeom prst="rect">
                      <a:avLst/>
                    </a:prstGeom>
                    <a:noFill/>
                    <a:ln>
                      <a:noFill/>
                    </a:ln>
                  </pic:spPr>
                </pic:pic>
              </a:graphicData>
            </a:graphic>
          </wp:inline>
        </w:drawing>
      </w:r>
    </w:p>
    <w:p>
      <w:pPr>
        <w:spacing w:line="600" w:lineRule="exact"/>
        <w:ind w:firstLine="1292" w:firstLineChars="404"/>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持平，主要原因是本单位无因公出国（境）支出</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w:t>
      </w:r>
      <w:r>
        <w:rPr>
          <w:rFonts w:hint="eastAsia" w:ascii="仿宋_GB2312" w:eastAsia="仿宋_GB2312"/>
          <w:sz w:val="32"/>
          <w:szCs w:val="32"/>
        </w:rPr>
        <w:t>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5</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sz w:val="32"/>
          <w:szCs w:val="32"/>
          <w:lang w:eastAsia="zh-CN"/>
        </w:rPr>
        <w:t>公务用车数量没有变化</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lang w:val="en-US" w:eastAsia="zh-CN"/>
        </w:rPr>
        <w:t>2020持平，主要原因是本单位无公务车购置情况</w:t>
      </w:r>
      <w:r>
        <w:rPr>
          <w:rFonts w:hint="eastAsia" w:ascii="仿宋" w:hAnsi="仿宋" w:eastAsia="仿宋"/>
          <w:color w:val="auto"/>
          <w:sz w:val="32"/>
          <w:szCs w:val="32"/>
          <w:highlight w:val="none"/>
          <w:lang w:eastAsia="zh-CN"/>
        </w:rPr>
        <w:t>。</w:t>
      </w:r>
      <w:r>
        <w:rPr>
          <w:rFonts w:hint="eastAsia" w:ascii="仿宋_GB2312" w:eastAsia="仿宋_GB2312"/>
          <w:sz w:val="32"/>
          <w:szCs w:val="32"/>
        </w:rPr>
        <w:t>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w:t>
      </w:r>
      <w:r>
        <w:rPr>
          <w:rFonts w:hint="eastAsia" w:ascii="仿宋_GB2312" w:eastAsia="仿宋_GB2312"/>
          <w:sz w:val="32"/>
          <w:szCs w:val="32"/>
          <w:lang w:eastAsia="zh-CN"/>
        </w:rPr>
        <w:t>执法执勤用车</w:t>
      </w:r>
      <w:r>
        <w:rPr>
          <w:rFonts w:hint="eastAsia" w:ascii="仿宋_GB2312" w:eastAsia="仿宋_GB2312"/>
          <w:sz w:val="32"/>
          <w:szCs w:val="32"/>
          <w:lang w:val="en-US" w:eastAsia="zh-CN"/>
        </w:rPr>
        <w:t>1辆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lang w:val="en-US" w:eastAsia="zh-CN"/>
        </w:rPr>
        <w:t>2020持平，主要原因是公车数量未发生变化</w:t>
      </w:r>
      <w:r>
        <w:rPr>
          <w:rFonts w:hint="eastAsia" w:ascii="仿宋_GB2312" w:eastAsia="仿宋_GB2312"/>
          <w:sz w:val="32"/>
          <w:szCs w:val="32"/>
        </w:rPr>
        <w:t>。主要用于</w:t>
      </w:r>
      <w:r>
        <w:rPr>
          <w:rFonts w:hint="eastAsia" w:ascii="仿宋_GB2312" w:eastAsia="仿宋_GB2312"/>
          <w:sz w:val="32"/>
          <w:szCs w:val="32"/>
          <w:lang w:eastAsia="zh-CN"/>
        </w:rPr>
        <w:t>保障海事处执法执勤用</w:t>
      </w:r>
      <w:r>
        <w:rPr>
          <w:rFonts w:hint="eastAsia" w:ascii="仿宋_GB2312" w:eastAsia="仿宋_GB2312"/>
          <w:sz w:val="32"/>
          <w:szCs w:val="32"/>
        </w:rPr>
        <w:t>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3.07</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0.09</w:t>
      </w:r>
      <w:r>
        <w:rPr>
          <w:rFonts w:hint="eastAsia" w:ascii="仿宋_GB2312" w:eastAsia="仿宋_GB2312"/>
          <w:sz w:val="32"/>
          <w:szCs w:val="32"/>
        </w:rPr>
        <w:t>万元，下降</w:t>
      </w:r>
      <w:r>
        <w:rPr>
          <w:rFonts w:hint="eastAsia" w:ascii="仿宋_GB2312" w:eastAsia="仿宋_GB2312"/>
          <w:sz w:val="32"/>
          <w:szCs w:val="32"/>
          <w:lang w:val="en-US" w:eastAsia="zh-CN"/>
        </w:rPr>
        <w:t>2.85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。其中：</w:t>
      </w:r>
    </w:p>
    <w:p>
      <w:pPr>
        <w:spacing w:line="600" w:lineRule="exact"/>
        <w:ind w:firstLine="640"/>
        <w:rPr>
          <w:rFonts w:hint="default" w:ascii="仿宋_GB2312" w:eastAsia="仿宋_GB2312"/>
          <w:sz w:val="32"/>
          <w:szCs w:val="32"/>
          <w:lang w:val="en-US"/>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3.07</w:t>
      </w:r>
      <w:r>
        <w:rPr>
          <w:rFonts w:hint="eastAsia" w:ascii="仿宋_GB2312" w:eastAsia="仿宋_GB2312"/>
          <w:sz w:val="32"/>
          <w:szCs w:val="32"/>
        </w:rPr>
        <w:t>万</w:t>
      </w:r>
      <w:r>
        <w:rPr>
          <w:rFonts w:hint="eastAsia" w:ascii="仿宋_GB2312" w:eastAsia="仿宋_GB2312"/>
          <w:color w:val="auto"/>
          <w:sz w:val="32"/>
          <w:szCs w:val="32"/>
          <w:highlight w:val="none"/>
        </w:rPr>
        <w:t>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b w:val="0"/>
          <w:bCs w:val="0"/>
          <w:color w:val="auto"/>
          <w:sz w:val="32"/>
          <w:szCs w:val="32"/>
          <w:highlight w:val="none"/>
          <w:lang w:eastAsia="zh-CN"/>
        </w:rPr>
        <w:t>厉行节约，缩减开支</w:t>
      </w:r>
      <w:r>
        <w:rPr>
          <w:rFonts w:hint="eastAsia" w:ascii="仿宋" w:hAnsi="仿宋" w:eastAsia="仿宋"/>
          <w:color w:val="auto"/>
          <w:sz w:val="32"/>
          <w:szCs w:val="32"/>
          <w:highlight w:val="none"/>
          <w:lang w:eastAsia="zh-CN"/>
        </w:rPr>
        <w:t>。</w:t>
      </w:r>
      <w:r>
        <w:rPr>
          <w:rFonts w:hint="eastAsia" w:ascii="仿宋_GB2312" w:eastAsia="仿宋_GB2312"/>
          <w:sz w:val="32"/>
          <w:szCs w:val="32"/>
        </w:rPr>
        <w:t>主要用于执行公务、开展业务活动开支的交通费、住宿费、用餐费等。国内公务接待</w:t>
      </w:r>
      <w:r>
        <w:rPr>
          <w:rFonts w:hint="eastAsia" w:ascii="仿宋_GB2312" w:eastAsia="仿宋_GB2312"/>
          <w:sz w:val="32"/>
          <w:szCs w:val="32"/>
          <w:lang w:val="en-US" w:eastAsia="zh-CN"/>
        </w:rPr>
        <w:t>31</w:t>
      </w:r>
      <w:r>
        <w:rPr>
          <w:rFonts w:hint="eastAsia" w:ascii="仿宋_GB2312" w:eastAsia="仿宋_GB2312"/>
          <w:sz w:val="32"/>
          <w:szCs w:val="32"/>
        </w:rPr>
        <w:t>批次，</w:t>
      </w:r>
      <w:r>
        <w:rPr>
          <w:rFonts w:hint="eastAsia" w:ascii="仿宋_GB2312" w:eastAsia="仿宋_GB2312"/>
          <w:sz w:val="32"/>
          <w:szCs w:val="32"/>
          <w:lang w:val="en-US" w:eastAsia="zh-CN"/>
        </w:rPr>
        <w:t>414</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3.07</w:t>
      </w:r>
      <w:r>
        <w:rPr>
          <w:rFonts w:hint="eastAsia" w:ascii="仿宋_GB2312" w:eastAsia="仿宋_GB2312"/>
          <w:sz w:val="32"/>
          <w:szCs w:val="32"/>
        </w:rPr>
        <w:t>万元，具体内容包括：</w:t>
      </w:r>
      <w:r>
        <w:rPr>
          <w:rFonts w:hint="eastAsia" w:ascii="仿宋_GB2312" w:eastAsia="仿宋_GB2312"/>
          <w:sz w:val="32"/>
          <w:szCs w:val="32"/>
          <w:lang w:eastAsia="zh-CN"/>
        </w:rPr>
        <w:t>拨海事处接待费</w:t>
      </w:r>
      <w:r>
        <w:rPr>
          <w:rFonts w:hint="eastAsia" w:ascii="仿宋_GB2312" w:eastAsia="仿宋_GB2312"/>
          <w:sz w:val="32"/>
          <w:szCs w:val="32"/>
          <w:lang w:val="en-US" w:eastAsia="zh-CN"/>
        </w:rPr>
        <w:t>0.5万元，接待广安市交通机关局80人0.4万元，接待前锋区交通局35人0.27万元，接待四川省交通厅交通脱贫攻坚第三督战组16人0.08万元，接待武胜交通局14人0.09万元，接待重庆交大交通公司25人0.16万元，接待重庆交科公司7人0.09万元，接待四川省交通厅安全处15人0.12万元，接待四川省交通厅S406环保督导16人0.11万元，接待巴中交通局25人0.2万元，接待四川省设计院35人0.28万元，接待广安市交通局运管处50人0.3万元，接待广安市道安办20人0.1万元，接待四川省交通厅执法调研20人0.1万元，接待广安市交通局检查组50人0.25万元，接待岳池交通局6人0.02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2020年持平，主要原因是本单位无外事接待。</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53" w:name="_Toc15377218"/>
      <w:bookmarkStart w:id="54" w:name="_Toc15396610"/>
    </w:p>
    <w:p>
      <w:pPr>
        <w:spacing w:line="600" w:lineRule="exact"/>
        <w:ind w:firstLine="640"/>
        <w:outlineLvl w:val="1"/>
        <w:rPr>
          <w:rStyle w:val="26"/>
          <w:rFonts w:ascii="黑体" w:hAnsi="黑体" w:eastAsia="黑体"/>
        </w:rPr>
      </w:pPr>
      <w:bookmarkStart w:id="55" w:name="_Toc19456"/>
      <w:r>
        <w:rPr>
          <w:rFonts w:hint="eastAsia" w:ascii="黑体" w:eastAsia="黑体"/>
          <w:sz w:val="32"/>
          <w:szCs w:val="32"/>
          <w:lang w:eastAsia="zh-CN"/>
        </w:rPr>
        <w:t>九</w:t>
      </w:r>
      <w:r>
        <w:rPr>
          <w:rFonts w:hint="eastAsia" w:ascii="黑体" w:eastAsia="黑体"/>
          <w:sz w:val="32"/>
          <w:szCs w:val="32"/>
        </w:rPr>
        <w:t>、</w:t>
      </w:r>
      <w:r>
        <w:rPr>
          <w:rStyle w:val="26"/>
          <w:rFonts w:hint="eastAsia" w:ascii="黑体" w:hAnsi="黑体" w:eastAsia="黑体"/>
          <w:b w:val="0"/>
        </w:rPr>
        <w:t>政府性基金预算支出决算情况说明</w:t>
      </w:r>
      <w:bookmarkEnd w:id="53"/>
      <w:bookmarkEnd w:id="54"/>
      <w:bookmarkEnd w:id="5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50</w:t>
      </w:r>
      <w:r>
        <w:rPr>
          <w:rFonts w:hint="eastAsia" w:ascii="仿宋_GB2312" w:eastAsia="仿宋_GB2312"/>
          <w:sz w:val="32"/>
          <w:szCs w:val="32"/>
        </w:rPr>
        <w:t>万元。</w:t>
      </w:r>
    </w:p>
    <w:p>
      <w:pPr>
        <w:spacing w:line="600" w:lineRule="exact"/>
        <w:ind w:firstLine="640"/>
        <w:outlineLvl w:val="1"/>
        <w:rPr>
          <w:rFonts w:hint="eastAsia" w:ascii="黑体" w:eastAsia="黑体"/>
          <w:sz w:val="32"/>
          <w:szCs w:val="32"/>
          <w:lang w:eastAsia="zh-CN"/>
        </w:rPr>
      </w:pPr>
      <w:bookmarkStart w:id="56" w:name="_Toc15377219"/>
      <w:bookmarkStart w:id="57" w:name="_Toc15396611"/>
      <w:bookmarkStart w:id="58" w:name="_Toc26935"/>
      <w:r>
        <w:rPr>
          <w:rFonts w:hint="eastAsia" w:ascii="黑体" w:eastAsia="黑体"/>
          <w:sz w:val="32"/>
          <w:szCs w:val="32"/>
          <w:lang w:eastAsia="zh-CN"/>
        </w:rPr>
        <w:t>十、国有资本经营预算支出决算情况说明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hint="eastAsia" w:ascii="黑体" w:eastAsia="黑体"/>
          <w:sz w:val="32"/>
          <w:szCs w:val="32"/>
          <w:lang w:eastAsia="zh-CN"/>
        </w:rPr>
      </w:pPr>
      <w:bookmarkStart w:id="59" w:name="_Toc15377221"/>
      <w:bookmarkStart w:id="60" w:name="_Toc15396612"/>
      <w:bookmarkStart w:id="61" w:name="_Toc32746"/>
      <w:r>
        <w:rPr>
          <w:rFonts w:hint="eastAsia" w:ascii="黑体" w:eastAsia="黑体"/>
          <w:sz w:val="32"/>
          <w:szCs w:val="32"/>
          <w:lang w:eastAsia="zh-CN"/>
        </w:rPr>
        <w:t>十一、其他重要事项的情况说明</w:t>
      </w:r>
      <w:bookmarkEnd w:id="59"/>
      <w:bookmarkEnd w:id="60"/>
      <w:bookmarkEnd w:id="61"/>
    </w:p>
    <w:p>
      <w:pPr>
        <w:spacing w:line="600" w:lineRule="exact"/>
        <w:ind w:firstLine="643" w:firstLineChars="200"/>
        <w:outlineLvl w:val="2"/>
        <w:rPr>
          <w:rFonts w:ascii="仿宋" w:hAnsi="仿宋" w:eastAsia="仿宋"/>
          <w:sz w:val="32"/>
          <w:szCs w:val="32"/>
        </w:rPr>
      </w:pPr>
      <w:bookmarkStart w:id="62" w:name="_Toc15377222"/>
      <w:r>
        <w:rPr>
          <w:rFonts w:hint="eastAsia" w:ascii="仿宋" w:hAnsi="仿宋" w:eastAsia="仿宋"/>
          <w:b/>
          <w:sz w:val="32"/>
          <w:szCs w:val="32"/>
        </w:rPr>
        <w:t>（一）机关运行经费支出情况</w:t>
      </w:r>
      <w:bookmarkEnd w:id="62"/>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21年，机关运行经费支出</w:t>
      </w:r>
      <w:r>
        <w:rPr>
          <w:rFonts w:hint="eastAsia" w:ascii="仿宋_GB2312" w:eastAsia="仿宋_GB2312"/>
          <w:sz w:val="32"/>
          <w:szCs w:val="32"/>
          <w:lang w:val="en-US" w:eastAsia="zh-CN"/>
        </w:rPr>
        <w:t>91.5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13.59</w:t>
      </w:r>
      <w:r>
        <w:rPr>
          <w:rFonts w:hint="eastAsia" w:ascii="仿宋_GB2312" w:eastAsia="仿宋_GB2312"/>
          <w:sz w:val="32"/>
          <w:szCs w:val="32"/>
        </w:rPr>
        <w:t>万元，增长</w:t>
      </w:r>
      <w:r>
        <w:rPr>
          <w:rFonts w:hint="eastAsia" w:ascii="仿宋_GB2312" w:eastAsia="仿宋_GB2312"/>
          <w:sz w:val="32"/>
          <w:szCs w:val="32"/>
          <w:lang w:val="en-US" w:eastAsia="zh-CN"/>
        </w:rPr>
        <w:t>17.44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人员增加造成。</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3" w:name="_Toc15377223"/>
      <w:r>
        <w:rPr>
          <w:rFonts w:hint="eastAsia" w:ascii="仿宋" w:hAnsi="仿宋" w:eastAsia="仿宋"/>
          <w:b/>
          <w:sz w:val="32"/>
          <w:szCs w:val="32"/>
        </w:rPr>
        <w:t>（二）政府采购支出情况</w:t>
      </w:r>
      <w:bookmarkEnd w:id="6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w:t>
      </w:r>
      <w:r>
        <w:rPr>
          <w:rFonts w:hint="eastAsia" w:ascii="仿宋_GB2312" w:eastAsia="仿宋_GB2312"/>
          <w:sz w:val="32"/>
          <w:szCs w:val="32"/>
          <w:lang w:val="en-US" w:eastAsia="zh-CN"/>
        </w:rPr>
        <w:t>1246.12</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122.96</w:t>
      </w:r>
      <w:r>
        <w:rPr>
          <w:rFonts w:hint="eastAsia" w:ascii="仿宋_GB2312" w:eastAsia="仿宋_GB2312"/>
          <w:sz w:val="32"/>
          <w:szCs w:val="32"/>
        </w:rPr>
        <w:t>万元、政府采购工程支出</w:t>
      </w:r>
      <w:r>
        <w:rPr>
          <w:rFonts w:hint="eastAsia" w:ascii="仿宋_GB2312" w:eastAsia="仿宋_GB2312"/>
          <w:sz w:val="32"/>
          <w:szCs w:val="32"/>
          <w:lang w:val="en-US" w:eastAsia="zh-CN"/>
        </w:rPr>
        <w:t>693.82</w:t>
      </w:r>
      <w:r>
        <w:rPr>
          <w:rFonts w:hint="eastAsia" w:ascii="仿宋_GB2312" w:eastAsia="仿宋_GB2312"/>
          <w:sz w:val="32"/>
          <w:szCs w:val="32"/>
        </w:rPr>
        <w:t>万元、政府采购服务支出</w:t>
      </w:r>
      <w:r>
        <w:rPr>
          <w:rFonts w:hint="eastAsia" w:ascii="仿宋_GB2312" w:eastAsia="仿宋_GB2312"/>
          <w:sz w:val="32"/>
          <w:szCs w:val="32"/>
          <w:lang w:val="en-US" w:eastAsia="zh-CN"/>
        </w:rPr>
        <w:t>429.35</w:t>
      </w:r>
      <w:r>
        <w:rPr>
          <w:rFonts w:hint="eastAsia" w:ascii="仿宋_GB2312" w:eastAsia="仿宋_GB2312"/>
          <w:sz w:val="32"/>
          <w:szCs w:val="32"/>
        </w:rPr>
        <w:t>万元。主要用于</w:t>
      </w:r>
      <w:r>
        <w:rPr>
          <w:rFonts w:hint="eastAsia" w:ascii="仿宋_GB2312" w:eastAsia="仿宋_GB2312"/>
          <w:sz w:val="32"/>
          <w:szCs w:val="32"/>
          <w:lang w:eastAsia="zh-CN"/>
        </w:rPr>
        <w:t>交通项目的工程建设</w:t>
      </w:r>
      <w:r>
        <w:rPr>
          <w:rFonts w:hint="eastAsia" w:ascii="仿宋_GB2312" w:eastAsia="仿宋_GB2312"/>
          <w:sz w:val="32"/>
          <w:szCs w:val="32"/>
        </w:rPr>
        <w:t>。授予中小企业合同金额</w:t>
      </w:r>
      <w:r>
        <w:rPr>
          <w:rFonts w:hint="eastAsia" w:ascii="仿宋_GB2312" w:eastAsia="仿宋_GB2312"/>
          <w:sz w:val="32"/>
          <w:szCs w:val="32"/>
          <w:lang w:val="en-US" w:eastAsia="zh-CN"/>
        </w:rPr>
        <w:t>1246.12</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3.1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0.25</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4"/>
      <w:r>
        <w:rPr>
          <w:rFonts w:hint="eastAsia" w:ascii="仿宋" w:hAnsi="仿宋" w:eastAsia="仿宋"/>
          <w:b/>
          <w:sz w:val="32"/>
          <w:szCs w:val="32"/>
        </w:rPr>
        <w:t>（三）国有资产占有使用情况</w:t>
      </w:r>
      <w:bookmarkEnd w:id="6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我局本级</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w:t>
      </w:r>
      <w:r>
        <w:rPr>
          <w:rFonts w:hint="eastAsia" w:ascii="仿宋_GB2312" w:eastAsia="仿宋_GB2312"/>
          <w:sz w:val="32"/>
          <w:szCs w:val="32"/>
          <w:lang w:eastAsia="zh-CN"/>
        </w:rPr>
        <w:t>执法执勤用车</w:t>
      </w:r>
      <w:r>
        <w:rPr>
          <w:rFonts w:hint="eastAsia" w:ascii="仿宋_GB2312" w:eastAsia="仿宋_GB2312"/>
          <w:sz w:val="32"/>
          <w:szCs w:val="32"/>
          <w:lang w:val="en-US" w:eastAsia="zh-CN"/>
        </w:rPr>
        <w:t>1辆，</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根据预算绩效管理要求，本单位在</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预算编制阶段，组织对20年“四好农村路”示范县专项补助</w:t>
      </w:r>
      <w:r>
        <w:rPr>
          <w:rFonts w:hint="eastAsia" w:ascii="仿宋_GB2312" w:hAnsi="仿宋_GB2312" w:eastAsia="仿宋_GB2312" w:cs="仿宋_GB2312"/>
          <w:sz w:val="32"/>
          <w:szCs w:val="32"/>
          <w:lang w:eastAsia="zh-CN"/>
        </w:rPr>
        <w:t>、20年养护和应急保通中心养护管理站建设、取消政府还贷二级公路收费用于交通建设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25个</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开展了绩效</w:t>
      </w:r>
      <w:r>
        <w:rPr>
          <w:rFonts w:hint="eastAsia" w:ascii="仿宋_GB2312" w:hAnsi="仿宋_GB2312" w:eastAsia="仿宋_GB2312" w:cs="仿宋_GB2312"/>
          <w:sz w:val="32"/>
          <w:szCs w:val="32"/>
          <w:lang w:eastAsia="zh-CN"/>
        </w:rPr>
        <w:t>目标完成情况自评。</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本单位按要求对2021年单位整体支出开展绩效自评，从评价情况来看</w:t>
      </w:r>
      <w:r>
        <w:rPr>
          <w:rFonts w:hint="eastAsia" w:ascii="仿宋_GB2312" w:hAnsi="宋体" w:eastAsia="仿宋_GB2312" w:cs="宋体"/>
          <w:kern w:val="0"/>
          <w:sz w:val="32"/>
          <w:szCs w:val="32"/>
          <w:shd w:val="clear" w:color="auto" w:fill="FFFFFF"/>
          <w:lang w:val="zh-CN"/>
        </w:rPr>
        <w:t>，项目实际完成情况较好</w:t>
      </w:r>
      <w:r>
        <w:rPr>
          <w:rFonts w:hint="eastAsia" w:ascii="仿宋_GB2312" w:hAnsi="仿宋_GB2312" w:eastAsia="仿宋_GB2312" w:cs="仿宋_GB2312"/>
          <w:kern w:val="2"/>
          <w:sz w:val="32"/>
          <w:szCs w:val="32"/>
          <w:lang w:val="en-US" w:eastAsia="zh-CN" w:bidi="ar-SA"/>
        </w:rPr>
        <w:t>。本单位还自行组织了</w:t>
      </w:r>
      <w:r>
        <w:rPr>
          <w:rFonts w:hint="eastAsia" w:hAnsi="仿宋_GB2312" w:cs="仿宋_GB2312"/>
          <w:kern w:val="2"/>
          <w:sz w:val="32"/>
          <w:szCs w:val="32"/>
          <w:lang w:val="en-US" w:eastAsia="zh-CN" w:bidi="ar-SA"/>
        </w:rPr>
        <w:t>25</w:t>
      </w:r>
      <w:r>
        <w:rPr>
          <w:rFonts w:hint="eastAsia" w:ascii="仿宋_GB2312" w:hAnsi="仿宋_GB2312" w:eastAsia="仿宋_GB2312" w:cs="仿宋_GB2312"/>
          <w:kern w:val="2"/>
          <w:sz w:val="32"/>
          <w:szCs w:val="32"/>
          <w:lang w:val="en-US" w:eastAsia="zh-CN" w:bidi="ar-SA"/>
        </w:rPr>
        <w:t>个项目支出绩效评价，从评价情况来看</w:t>
      </w:r>
      <w:r>
        <w:rPr>
          <w:rFonts w:hint="eastAsia" w:ascii="仿宋_GB2312" w:hAnsi="宋体" w:eastAsia="仿宋_GB2312" w:cs="宋体"/>
          <w:kern w:val="0"/>
          <w:sz w:val="32"/>
          <w:szCs w:val="32"/>
          <w:shd w:val="clear" w:color="auto" w:fill="FFFFFF"/>
          <w:lang w:val="zh-CN"/>
        </w:rPr>
        <w:t>项目实际完成情况较好，少部分项目支付进度</w:t>
      </w:r>
      <w:r>
        <w:rPr>
          <w:rFonts w:hint="eastAsia" w:hAnsi="宋体" w:cs="宋体"/>
          <w:kern w:val="0"/>
          <w:sz w:val="32"/>
          <w:szCs w:val="32"/>
          <w:shd w:val="clear" w:color="auto" w:fill="FFFFFF"/>
          <w:lang w:val="zh-CN"/>
        </w:rPr>
        <w:t>不够理想</w:t>
      </w:r>
      <w:r>
        <w:rPr>
          <w:rFonts w:hint="eastAsia" w:ascii="仿宋_GB2312" w:hAnsi="宋体" w:eastAsia="仿宋_GB2312" w:cs="宋体"/>
          <w:kern w:val="0"/>
          <w:sz w:val="32"/>
          <w:szCs w:val="32"/>
          <w:shd w:val="clear" w:color="auto" w:fill="FFFFFF"/>
          <w:lang w:val="zh-CN"/>
        </w:rPr>
        <w:t>。</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1.项目绩效目标完成情况。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本单位在2021年度部门决算中反映“</w:t>
      </w:r>
      <w:r>
        <w:rPr>
          <w:rFonts w:hint="eastAsia" w:ascii="仿宋_GB2312" w:hAnsi="宋体" w:eastAsia="仿宋_GB2312" w:cs="宋体"/>
          <w:kern w:val="0"/>
          <w:sz w:val="32"/>
          <w:szCs w:val="32"/>
          <w:shd w:val="clear" w:color="auto" w:fill="FFFFFF"/>
          <w:lang w:val="zh-CN"/>
        </w:rPr>
        <w:t>新能源汽车充电电费补贴</w:t>
      </w: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w:t>
      </w:r>
      <w:r>
        <w:rPr>
          <w:rFonts w:hint="eastAsia" w:ascii="仿宋_GB2312" w:hAnsi="宋体" w:eastAsia="仿宋_GB2312" w:cs="宋体"/>
          <w:kern w:val="0"/>
          <w:sz w:val="32"/>
          <w:szCs w:val="32"/>
          <w:shd w:val="clear" w:color="auto" w:fill="FFFFFF"/>
          <w:lang w:val="en-US" w:eastAsia="zh-CN" w:bidi="ar-SA"/>
        </w:rPr>
        <w:t>8.11洪灾交通应急项目</w:t>
      </w:r>
      <w:r>
        <w:rPr>
          <w:rFonts w:hint="eastAsia" w:ascii="仿宋_GB2312" w:hAnsi="仿宋_GB2312" w:eastAsia="仿宋_GB2312" w:cs="仿宋_GB2312"/>
          <w:kern w:val="2"/>
          <w:sz w:val="32"/>
          <w:szCs w:val="32"/>
          <w:lang w:val="en-US" w:eastAsia="zh-CN" w:bidi="ar-SA"/>
        </w:rPr>
        <w:t>”“</w:t>
      </w:r>
      <w:r>
        <w:rPr>
          <w:rFonts w:hint="eastAsia" w:ascii="仿宋_GB2312" w:hAnsi="宋体" w:eastAsia="仿宋_GB2312" w:cs="宋体"/>
          <w:kern w:val="0"/>
          <w:sz w:val="32"/>
          <w:szCs w:val="32"/>
          <w:shd w:val="clear" w:color="auto" w:fill="FFFFFF"/>
          <w:lang w:val="en-US" w:eastAsia="zh-CN" w:bidi="ar-SA"/>
        </w:rPr>
        <w:t>2020年‘四好农村路’以奖代补资金</w:t>
      </w:r>
      <w:r>
        <w:rPr>
          <w:rFonts w:hint="eastAsia" w:ascii="仿宋_GB2312" w:hAnsi="仿宋_GB2312" w:eastAsia="仿宋_GB2312" w:cs="仿宋_GB2312"/>
          <w:kern w:val="2"/>
          <w:sz w:val="32"/>
          <w:szCs w:val="32"/>
          <w:lang w:val="en-US" w:eastAsia="zh-CN" w:bidi="ar-SA"/>
        </w:rPr>
        <w:t>”等</w:t>
      </w:r>
      <w:r>
        <w:rPr>
          <w:rFonts w:hint="eastAsia" w:hAnsi="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个项目绩效目标实际完成情况。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宋体" w:eastAsia="仿宋_GB2312" w:cs="宋体"/>
          <w:kern w:val="0"/>
          <w:sz w:val="32"/>
          <w:szCs w:val="32"/>
          <w:shd w:val="clear" w:color="auto" w:fill="FFFFFF"/>
          <w:lang w:val="zh-CN"/>
        </w:rPr>
        <w:t>新能源汽车充电电费补贴</w:t>
      </w:r>
      <w:r>
        <w:rPr>
          <w:rFonts w:hint="eastAsia" w:ascii="仿宋_GB2312" w:hAnsi="仿宋_GB2312" w:eastAsia="仿宋_GB2312" w:cs="仿宋_GB2312"/>
          <w:kern w:val="2"/>
          <w:sz w:val="32"/>
          <w:szCs w:val="32"/>
          <w:lang w:val="en-US" w:eastAsia="zh-CN" w:bidi="ar-SA"/>
        </w:rPr>
        <w:t>项目绩效目标完成情况综述。项目全年预算数</w:t>
      </w:r>
      <w:r>
        <w:rPr>
          <w:rFonts w:hint="eastAsia" w:hAnsi="仿宋_GB2312" w:cs="仿宋_GB2312"/>
          <w:kern w:val="2"/>
          <w:sz w:val="32"/>
          <w:szCs w:val="32"/>
          <w:lang w:val="en-US" w:eastAsia="zh-CN" w:bidi="ar-SA"/>
        </w:rPr>
        <w:t>140</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140</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ascii="仿宋_GB2312" w:hAnsi="宋体" w:eastAsia="仿宋_GB2312" w:cs="宋体"/>
          <w:kern w:val="0"/>
          <w:sz w:val="32"/>
          <w:szCs w:val="32"/>
          <w:shd w:val="clear" w:color="auto" w:fill="FFFFFF"/>
          <w:lang w:val="zh-CN"/>
        </w:rPr>
        <w:t>弥补了新能源汽车正常充电所产生的费用</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p>
    <w:p>
      <w:pPr>
        <w:pStyle w:val="2"/>
        <w:rPr>
          <w:rFonts w:hint="eastAsia"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宋体" w:eastAsia="仿宋_GB2312" w:cs="宋体"/>
          <w:kern w:val="0"/>
          <w:sz w:val="32"/>
          <w:szCs w:val="32"/>
          <w:shd w:val="clear" w:color="auto" w:fill="FFFFFF"/>
          <w:lang w:val="en-US" w:eastAsia="zh-CN" w:bidi="ar-SA"/>
        </w:rPr>
        <w:t>“8.11”洪灾交通应急项目</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234.88</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234.88</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hAnsi="仿宋_GB2312" w:cs="仿宋_GB2312"/>
          <w:kern w:val="2"/>
          <w:sz w:val="32"/>
          <w:szCs w:val="32"/>
          <w:lang w:val="en-US" w:eastAsia="zh-CN" w:bidi="ar-SA"/>
        </w:rPr>
        <w:t>修复了</w:t>
      </w:r>
      <w:r>
        <w:rPr>
          <w:rFonts w:hint="eastAsia" w:ascii="仿宋_GB2312" w:hAnsi="宋体" w:eastAsia="仿宋_GB2312" w:cs="宋体"/>
          <w:kern w:val="0"/>
          <w:sz w:val="32"/>
          <w:szCs w:val="32"/>
          <w:shd w:val="clear" w:color="auto" w:fill="FFFFFF"/>
          <w:lang w:val="en-US" w:eastAsia="zh-CN" w:bidi="ar-SA"/>
        </w:rPr>
        <w:t>洪灾损毁的公路</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宋体" w:eastAsia="仿宋_GB2312" w:cs="宋体"/>
          <w:kern w:val="0"/>
          <w:sz w:val="32"/>
          <w:szCs w:val="32"/>
          <w:shd w:val="clear" w:color="auto" w:fill="FFFFFF"/>
          <w:lang w:val="en-US" w:eastAsia="zh-CN" w:bidi="ar-SA"/>
        </w:rPr>
        <w:t>2020年“四好农村路”以奖代补资金</w:t>
      </w:r>
      <w:r>
        <w:rPr>
          <w:rFonts w:hint="eastAsia" w:ascii="仿宋_GB2312" w:hAnsi="仿宋_GB2312" w:eastAsia="仿宋_GB2312" w:cs="仿宋_GB2312"/>
          <w:kern w:val="2"/>
          <w:sz w:val="32"/>
          <w:szCs w:val="32"/>
          <w:lang w:val="en-US" w:eastAsia="zh-CN" w:bidi="ar-SA"/>
        </w:rPr>
        <w:t>项目绩效目标完成情况综述。项目全年预算数</w:t>
      </w:r>
      <w:r>
        <w:rPr>
          <w:rFonts w:hint="eastAsia" w:hAnsi="仿宋_GB2312" w:cs="仿宋_GB2312"/>
          <w:kern w:val="2"/>
          <w:sz w:val="32"/>
          <w:szCs w:val="32"/>
          <w:lang w:val="en-US" w:eastAsia="zh-CN" w:bidi="ar-SA"/>
        </w:rPr>
        <w:t>230</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230</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hAnsi="仿宋_GB2312" w:cs="仿宋_GB2312"/>
          <w:kern w:val="2"/>
          <w:sz w:val="32"/>
          <w:szCs w:val="32"/>
          <w:lang w:val="en-US" w:eastAsia="zh-CN" w:bidi="ar-SA"/>
        </w:rPr>
        <w:t>完成了对</w:t>
      </w:r>
      <w:r>
        <w:rPr>
          <w:rFonts w:hint="eastAsia" w:ascii="仿宋_GB2312" w:hAnsi="宋体" w:eastAsia="仿宋_GB2312" w:cs="宋体"/>
          <w:kern w:val="0"/>
          <w:sz w:val="32"/>
          <w:szCs w:val="32"/>
          <w:shd w:val="clear" w:color="auto" w:fill="FFFFFF"/>
          <w:lang w:val="en-US" w:eastAsia="zh-CN" w:bidi="ar-SA"/>
        </w:rPr>
        <w:t>全市</w:t>
      </w:r>
      <w:r>
        <w:rPr>
          <w:rFonts w:hint="eastAsia" w:ascii="仿宋_GB2312" w:hAnsi="宋体" w:eastAsia="仿宋_GB2312" w:cs="宋体"/>
          <w:kern w:val="0"/>
          <w:sz w:val="32"/>
          <w:szCs w:val="32"/>
          <w:shd w:val="clear" w:color="auto" w:fill="FFFFFF"/>
          <w:lang w:val="en-US" w:eastAsia="zh-CN"/>
        </w:rPr>
        <w:t>12个乡镇、街道农村公路环境进行整治</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eastAsia" w:ascii="仿宋_GB2312" w:hAnsi="宋体" w:eastAsia="仿宋_GB2312" w:cs="宋体"/>
          <w:kern w:val="0"/>
          <w:sz w:val="32"/>
          <w:szCs w:val="32"/>
          <w:shd w:val="clear" w:color="auto" w:fill="FFFFFF"/>
          <w:lang w:val="en-US" w:eastAsia="zh-CN" w:bidi="ar-SA"/>
        </w:rPr>
        <w:t>20年养护和应急保通中心养护管理站</w:t>
      </w:r>
      <w:r>
        <w:rPr>
          <w:rFonts w:hint="eastAsia" w:ascii="仿宋_GB2312" w:hAnsi="仿宋_GB2312" w:eastAsia="仿宋_GB2312" w:cs="仿宋_GB2312"/>
          <w:kern w:val="2"/>
          <w:sz w:val="32"/>
          <w:szCs w:val="32"/>
          <w:lang w:val="en-US" w:eastAsia="zh-CN" w:bidi="ar-SA"/>
        </w:rPr>
        <w:t>项目绩效目标完成情况综述。项目全年预算数</w:t>
      </w:r>
      <w:r>
        <w:rPr>
          <w:rFonts w:hint="eastAsia" w:hAnsi="仿宋_GB2312" w:cs="仿宋_GB2312"/>
          <w:kern w:val="2"/>
          <w:sz w:val="32"/>
          <w:szCs w:val="32"/>
          <w:lang w:val="en-US" w:eastAsia="zh-CN" w:bidi="ar-SA"/>
        </w:rPr>
        <w:t>500</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500</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hAnsi="仿宋_GB2312" w:cs="仿宋_GB2312"/>
          <w:kern w:val="2"/>
          <w:sz w:val="32"/>
          <w:szCs w:val="32"/>
          <w:lang w:val="en-US" w:eastAsia="zh-CN" w:bidi="ar-SA"/>
        </w:rPr>
        <w:t>完成了</w:t>
      </w:r>
      <w:r>
        <w:rPr>
          <w:rFonts w:hint="eastAsia" w:ascii="仿宋_GB2312" w:hAnsi="宋体" w:eastAsia="仿宋_GB2312" w:cs="宋体"/>
          <w:kern w:val="0"/>
          <w:sz w:val="32"/>
          <w:szCs w:val="32"/>
          <w:shd w:val="clear" w:color="auto" w:fill="FFFFFF"/>
          <w:lang w:val="en-US" w:eastAsia="zh-CN" w:bidi="ar-SA"/>
        </w:rPr>
        <w:t>养护和应急保通中心养护管理站</w:t>
      </w:r>
      <w:r>
        <w:rPr>
          <w:rFonts w:hint="eastAsia" w:hAnsi="宋体" w:cs="宋体"/>
          <w:kern w:val="0"/>
          <w:sz w:val="32"/>
          <w:szCs w:val="32"/>
          <w:shd w:val="clear" w:color="auto" w:fill="FFFFFF"/>
          <w:lang w:val="en-US" w:eastAsia="zh-CN" w:bidi="ar-SA"/>
        </w:rPr>
        <w:t>建设</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宋体" w:eastAsia="仿宋_GB2312" w:cs="宋体"/>
          <w:kern w:val="0"/>
          <w:sz w:val="32"/>
          <w:szCs w:val="32"/>
          <w:shd w:val="clear" w:color="auto" w:fill="FFFFFF"/>
          <w:lang w:val="en-US" w:eastAsia="zh-CN"/>
        </w:rPr>
        <w:t>2020年</w:t>
      </w:r>
      <w:r>
        <w:rPr>
          <w:rFonts w:hint="eastAsia" w:ascii="仿宋_GB2312" w:hAnsi="宋体" w:eastAsia="仿宋_GB2312" w:cs="宋体"/>
          <w:kern w:val="0"/>
          <w:sz w:val="32"/>
          <w:szCs w:val="32"/>
          <w:shd w:val="clear" w:color="auto" w:fill="FFFFFF"/>
          <w:lang w:val="zh-CN"/>
        </w:rPr>
        <w:t>“四好农村路”示范县专项补助</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314.85</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314.85</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hAnsi="仿宋_GB2312" w:cs="仿宋_GB2312"/>
          <w:kern w:val="2"/>
          <w:sz w:val="32"/>
          <w:szCs w:val="32"/>
          <w:lang w:val="en-US" w:eastAsia="zh-CN" w:bidi="ar-SA"/>
        </w:rPr>
        <w:t>完成了</w:t>
      </w:r>
      <w:r>
        <w:rPr>
          <w:rFonts w:hint="eastAsia" w:hAnsi="宋体" w:cs="宋体"/>
          <w:kern w:val="0"/>
          <w:sz w:val="32"/>
          <w:szCs w:val="32"/>
          <w:shd w:val="clear" w:color="auto" w:fill="FFFFFF"/>
          <w:lang w:val="zh-CN"/>
        </w:rPr>
        <w:t>对</w:t>
      </w:r>
      <w:r>
        <w:rPr>
          <w:rFonts w:hint="eastAsia" w:ascii="仿宋_GB2312" w:hAnsi="宋体" w:eastAsia="仿宋_GB2312" w:cs="宋体"/>
          <w:kern w:val="0"/>
          <w:sz w:val="32"/>
          <w:szCs w:val="32"/>
          <w:shd w:val="clear" w:color="auto" w:fill="FFFFFF"/>
          <w:lang w:val="zh-CN"/>
        </w:rPr>
        <w:t>各乡镇</w:t>
      </w:r>
      <w:r>
        <w:rPr>
          <w:rFonts w:hint="eastAsia" w:hAnsi="宋体" w:cs="宋体"/>
          <w:kern w:val="0"/>
          <w:sz w:val="32"/>
          <w:szCs w:val="32"/>
          <w:shd w:val="clear" w:color="auto" w:fill="FFFFFF"/>
          <w:lang w:val="zh-CN"/>
        </w:rPr>
        <w:t>的补助</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kern w:val="0"/>
          <w:sz w:val="32"/>
          <w:szCs w:val="32"/>
          <w:shd w:val="clear" w:color="auto" w:fill="FFFFFF"/>
          <w:lang w:val="en-US" w:eastAsia="zh-CN"/>
        </w:rPr>
        <w:t>农村客运成品油价格</w:t>
      </w:r>
      <w:r>
        <w:rPr>
          <w:rFonts w:hint="eastAsia" w:ascii="仿宋_GB2312" w:hAnsi="宋体" w:eastAsia="仿宋_GB2312" w:cs="宋体"/>
          <w:kern w:val="0"/>
          <w:sz w:val="32"/>
          <w:szCs w:val="32"/>
          <w:shd w:val="clear" w:color="auto" w:fill="FFFFFF"/>
          <w:lang w:val="zh-CN"/>
        </w:rPr>
        <w:t>补助</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346.05</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346.05</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ascii="仿宋_GB2312" w:hAnsi="宋体" w:eastAsia="仿宋_GB2312" w:cs="宋体"/>
          <w:kern w:val="0"/>
          <w:sz w:val="32"/>
          <w:szCs w:val="32"/>
          <w:shd w:val="clear" w:color="auto" w:fill="FFFFFF"/>
          <w:lang w:val="en-US" w:eastAsia="zh-CN"/>
        </w:rPr>
        <w:t>弥补</w:t>
      </w:r>
      <w:r>
        <w:rPr>
          <w:rFonts w:hint="eastAsia" w:hAnsi="宋体" w:cs="宋体"/>
          <w:kern w:val="0"/>
          <w:sz w:val="32"/>
          <w:szCs w:val="32"/>
          <w:shd w:val="clear" w:color="auto" w:fill="FFFFFF"/>
          <w:lang w:val="en-US" w:eastAsia="zh-CN"/>
        </w:rPr>
        <w:t>了</w:t>
      </w:r>
      <w:r>
        <w:rPr>
          <w:rFonts w:hint="eastAsia" w:ascii="仿宋_GB2312" w:hAnsi="宋体" w:eastAsia="仿宋_GB2312" w:cs="宋体"/>
          <w:kern w:val="0"/>
          <w:sz w:val="32"/>
          <w:szCs w:val="32"/>
          <w:shd w:val="clear" w:color="auto" w:fill="FFFFFF"/>
          <w:lang w:val="en-US" w:eastAsia="zh-CN"/>
        </w:rPr>
        <w:t>农村客运车辆日常经营亏损，保障群众日常出行需求</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kern w:val="0"/>
          <w:sz w:val="32"/>
          <w:szCs w:val="32"/>
          <w:shd w:val="clear" w:color="auto" w:fill="FFFFFF"/>
          <w:lang w:val="en-US" w:eastAsia="zh-CN" w:bidi="ar-SA"/>
        </w:rPr>
        <w:t>车辆购置税收入补助普通省道和农村公路项目</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610.6</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610.6</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ascii="仿宋_GB2312" w:hAnsi="宋体" w:eastAsia="仿宋_GB2312" w:cs="宋体"/>
          <w:kern w:val="0"/>
          <w:sz w:val="32"/>
          <w:szCs w:val="32"/>
          <w:shd w:val="clear" w:color="auto" w:fill="FFFFFF"/>
          <w:lang w:val="en-US" w:eastAsia="zh-CN" w:bidi="ar-SA"/>
        </w:rPr>
        <w:t>新建</w:t>
      </w:r>
      <w:r>
        <w:rPr>
          <w:rFonts w:hint="eastAsia" w:hAnsi="宋体" w:cs="宋体"/>
          <w:kern w:val="0"/>
          <w:sz w:val="32"/>
          <w:szCs w:val="32"/>
          <w:shd w:val="clear" w:color="auto" w:fill="FFFFFF"/>
          <w:lang w:val="en-US" w:eastAsia="zh-CN" w:bidi="ar-SA"/>
        </w:rPr>
        <w:t>了</w:t>
      </w:r>
      <w:r>
        <w:rPr>
          <w:rFonts w:hint="eastAsia" w:ascii="仿宋_GB2312" w:hAnsi="宋体" w:eastAsia="仿宋_GB2312" w:cs="宋体"/>
          <w:kern w:val="0"/>
          <w:sz w:val="32"/>
          <w:szCs w:val="32"/>
          <w:shd w:val="clear" w:color="auto" w:fill="FFFFFF"/>
          <w:lang w:val="en-US" w:eastAsia="zh-CN" w:bidi="ar-SA"/>
        </w:rPr>
        <w:t>客运站1个</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kern w:val="0"/>
          <w:sz w:val="32"/>
          <w:szCs w:val="32"/>
          <w:shd w:val="clear" w:color="auto" w:fill="FFFFFF"/>
          <w:lang w:val="en-US" w:eastAsia="zh-CN" w:bidi="ar-SA"/>
        </w:rPr>
        <w:t>成品油税费改革用于G350预防性养护和中修项目</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581.32</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581.32</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ascii="仿宋_GB2312" w:hAnsi="宋体" w:eastAsia="仿宋_GB2312" w:cs="宋体"/>
          <w:kern w:val="0"/>
          <w:sz w:val="32"/>
          <w:szCs w:val="32"/>
          <w:shd w:val="clear" w:color="auto" w:fill="FFFFFF"/>
          <w:lang w:val="en-US" w:eastAsia="zh-CN" w:bidi="ar-SA"/>
        </w:rPr>
        <w:t>实施</w:t>
      </w:r>
      <w:r>
        <w:rPr>
          <w:rFonts w:hint="eastAsia" w:hAnsi="宋体" w:cs="宋体"/>
          <w:kern w:val="0"/>
          <w:sz w:val="32"/>
          <w:szCs w:val="32"/>
          <w:shd w:val="clear" w:color="auto" w:fill="FFFFFF"/>
          <w:lang w:val="en-US" w:eastAsia="zh-CN" w:bidi="ar-SA"/>
        </w:rPr>
        <w:t>了</w:t>
      </w:r>
      <w:r>
        <w:rPr>
          <w:rFonts w:hint="eastAsia" w:ascii="仿宋_GB2312" w:hAnsi="宋体" w:eastAsia="仿宋_GB2312" w:cs="宋体"/>
          <w:kern w:val="0"/>
          <w:sz w:val="32"/>
          <w:szCs w:val="32"/>
          <w:shd w:val="clear" w:color="auto" w:fill="FFFFFF"/>
          <w:lang w:val="en-US" w:eastAsia="zh-CN" w:bidi="ar-SA"/>
        </w:rPr>
        <w:t>G350大中修10公里</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kern w:val="0"/>
          <w:sz w:val="32"/>
          <w:szCs w:val="32"/>
          <w:shd w:val="clear" w:color="auto" w:fill="FFFFFF"/>
          <w:lang w:val="en-US" w:eastAsia="zh-CN" w:bidi="ar-SA"/>
        </w:rPr>
        <w:t>成品油税费改革用于农村公路养护项目</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120.1</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120.1</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ascii="仿宋_GB2312" w:hAnsi="宋体" w:eastAsia="仿宋_GB2312" w:cs="宋体"/>
          <w:kern w:val="0"/>
          <w:sz w:val="32"/>
          <w:szCs w:val="32"/>
          <w:shd w:val="clear" w:color="auto" w:fill="FFFFFF"/>
          <w:lang w:val="en-US" w:eastAsia="zh-CN" w:bidi="ar-SA"/>
        </w:rPr>
        <w:t>完成</w:t>
      </w:r>
      <w:r>
        <w:rPr>
          <w:rFonts w:hint="eastAsia" w:hAnsi="宋体" w:cs="宋体"/>
          <w:kern w:val="0"/>
          <w:sz w:val="32"/>
          <w:szCs w:val="32"/>
          <w:shd w:val="clear" w:color="auto" w:fill="FFFFFF"/>
          <w:lang w:val="en-US" w:eastAsia="zh-CN" w:bidi="ar-SA"/>
        </w:rPr>
        <w:t>了</w:t>
      </w:r>
      <w:r>
        <w:rPr>
          <w:rFonts w:hint="eastAsia" w:ascii="仿宋_GB2312" w:hAnsi="宋体" w:eastAsia="仿宋_GB2312" w:cs="宋体"/>
          <w:kern w:val="0"/>
          <w:sz w:val="32"/>
          <w:szCs w:val="32"/>
          <w:shd w:val="clear" w:color="auto" w:fill="FFFFFF"/>
          <w:lang w:val="en-US" w:eastAsia="zh-CN" w:bidi="ar-SA"/>
        </w:rPr>
        <w:t>1114.3公里农村公路养护</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kern w:val="0"/>
          <w:sz w:val="32"/>
          <w:szCs w:val="32"/>
          <w:shd w:val="clear" w:color="auto" w:fill="FFFFFF"/>
          <w:lang w:val="en-US" w:eastAsia="zh-CN" w:bidi="ar-SA"/>
        </w:rPr>
        <w:t>取消政府还贷二级公路收费用于交通建设项目</w:t>
      </w:r>
      <w:r>
        <w:rPr>
          <w:rFonts w:hint="eastAsia" w:ascii="仿宋_GB2312" w:hAnsi="仿宋_GB2312" w:eastAsia="仿宋_GB2312" w:cs="仿宋_GB2312"/>
          <w:kern w:val="2"/>
          <w:sz w:val="32"/>
          <w:szCs w:val="32"/>
          <w:lang w:val="en-US" w:eastAsia="zh-CN" w:bidi="ar-SA"/>
        </w:rPr>
        <w:t>绩效目标完成情况综述。项目全年预算数</w:t>
      </w:r>
      <w:r>
        <w:rPr>
          <w:rFonts w:hint="eastAsia" w:hAnsi="仿宋_GB2312" w:cs="仿宋_GB2312"/>
          <w:kern w:val="2"/>
          <w:sz w:val="32"/>
          <w:szCs w:val="32"/>
          <w:lang w:val="en-US" w:eastAsia="zh-CN" w:bidi="ar-SA"/>
        </w:rPr>
        <w:t>284.8</w:t>
      </w:r>
      <w:r>
        <w:rPr>
          <w:rFonts w:hint="eastAsia" w:ascii="仿宋_GB2312" w:hAnsi="仿宋_GB2312" w:eastAsia="仿宋_GB2312" w:cs="仿宋_GB2312"/>
          <w:kern w:val="2"/>
          <w:sz w:val="32"/>
          <w:szCs w:val="32"/>
          <w:lang w:val="en-US" w:eastAsia="zh-CN" w:bidi="ar-SA"/>
        </w:rPr>
        <w:t>万元，执行数为</w:t>
      </w:r>
      <w:r>
        <w:rPr>
          <w:rFonts w:hint="eastAsia" w:hAnsi="仿宋_GB2312" w:cs="仿宋_GB2312"/>
          <w:kern w:val="2"/>
          <w:sz w:val="32"/>
          <w:szCs w:val="32"/>
          <w:lang w:val="en-US" w:eastAsia="zh-CN" w:bidi="ar-SA"/>
        </w:rPr>
        <w:t>284.8</w:t>
      </w:r>
      <w:r>
        <w:rPr>
          <w:rFonts w:hint="eastAsia" w:ascii="仿宋_GB2312" w:hAnsi="仿宋_GB2312" w:eastAsia="仿宋_GB2312" w:cs="仿宋_GB2312"/>
          <w:kern w:val="2"/>
          <w:sz w:val="32"/>
          <w:szCs w:val="32"/>
          <w:lang w:val="en-US" w:eastAsia="zh-CN" w:bidi="ar-SA"/>
        </w:rPr>
        <w:t>万元，完成预算的</w:t>
      </w:r>
      <w:r>
        <w:rPr>
          <w:rFonts w:hint="eastAsia"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%。通过项目实施，</w:t>
      </w:r>
      <w:r>
        <w:rPr>
          <w:rFonts w:hint="eastAsia" w:ascii="仿宋_GB2312" w:hAnsi="宋体" w:eastAsia="仿宋_GB2312" w:cs="宋体"/>
          <w:kern w:val="0"/>
          <w:sz w:val="32"/>
          <w:szCs w:val="32"/>
          <w:shd w:val="clear" w:color="auto" w:fill="FFFFFF"/>
          <w:lang w:val="en-US" w:eastAsia="zh-CN" w:bidi="ar-SA"/>
        </w:rPr>
        <w:t>完成</w:t>
      </w:r>
      <w:r>
        <w:rPr>
          <w:rFonts w:hint="eastAsia" w:hAnsi="宋体" w:cs="宋体"/>
          <w:kern w:val="0"/>
          <w:sz w:val="32"/>
          <w:szCs w:val="32"/>
          <w:shd w:val="clear" w:color="auto" w:fill="FFFFFF"/>
          <w:lang w:val="en-US" w:eastAsia="zh-CN" w:bidi="ar-SA"/>
        </w:rPr>
        <w:t>了</w:t>
      </w:r>
      <w:r>
        <w:rPr>
          <w:rFonts w:hint="eastAsia" w:ascii="仿宋_GB2312" w:hAnsi="宋体" w:eastAsia="仿宋_GB2312" w:cs="宋体"/>
          <w:kern w:val="0"/>
          <w:sz w:val="32"/>
          <w:szCs w:val="32"/>
          <w:shd w:val="clear" w:color="auto" w:fill="FFFFFF"/>
          <w:lang w:val="en-US" w:eastAsia="zh-CN" w:bidi="ar-SA"/>
        </w:rPr>
        <w:t>天池至禄市道路扩宽0.9公里</w:t>
      </w:r>
      <w:r>
        <w:rPr>
          <w:rFonts w:hint="eastAsia" w:hAnsi="宋体" w:cs="宋体"/>
          <w:kern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发现的主要问题：</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。下一步改进措施：</w:t>
      </w:r>
      <w:r>
        <w:rPr>
          <w:rFonts w:hint="eastAsia" w:hAnsi="仿宋_GB2312" w:cs="仿宋_GB2312"/>
          <w:kern w:val="2"/>
          <w:sz w:val="32"/>
          <w:szCs w:val="32"/>
          <w:lang w:val="en-US" w:eastAsia="zh-CN" w:bidi="ar-SA"/>
        </w:rPr>
        <w:t>无</w:t>
      </w:r>
      <w:r>
        <w:rPr>
          <w:rFonts w:hint="eastAsia" w:ascii="仿宋_GB2312" w:hAnsi="仿宋_GB2312" w:eastAsia="仿宋_GB2312" w:cs="仿宋_GB2312"/>
          <w:kern w:val="2"/>
          <w:sz w:val="32"/>
          <w:szCs w:val="32"/>
          <w:lang w:val="en-US" w:eastAsia="zh-CN" w:bidi="ar-SA"/>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2021年特定目标类部门预算项目绩效目标自评表见附件（第四部分）。</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189"/>
        <w:gridCol w:w="1224"/>
        <w:gridCol w:w="2405"/>
        <w:gridCol w:w="240"/>
      </w:tblGrid>
      <w:tr>
        <w:trPr>
          <w:trHeight w:val="90" w:hRule="atLeast"/>
          <w:jc w:val="center"/>
        </w:trPr>
        <w:tc>
          <w:tcPr>
            <w:tcW w:w="9571"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sz w:val="32"/>
                <w:szCs w:val="32"/>
              </w:rPr>
            </w:pPr>
            <w:r>
              <w:rPr>
                <w:rFonts w:hint="eastAsia" w:ascii="宋体" w:hAnsi="宋体" w:cs="宋体"/>
                <w:b/>
                <w:sz w:val="32"/>
                <w:szCs w:val="32"/>
              </w:rPr>
              <w:t>新能源汽车充电电费补贴项目绩效目标自评</w:t>
            </w:r>
          </w:p>
        </w:tc>
        <w:tc>
          <w:tcPr>
            <w:tcW w:w="2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40"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302001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华蓥市交通运输局</w:t>
            </w:r>
          </w:p>
        </w:tc>
      </w:tr>
      <w:tr>
        <w:tblPrEx>
          <w:tblCellMar>
            <w:top w:w="0" w:type="dxa"/>
            <w:left w:w="108" w:type="dxa"/>
            <w:bottom w:w="0" w:type="dxa"/>
            <w:right w:w="108" w:type="dxa"/>
          </w:tblCellMar>
        </w:tblPrEx>
        <w:trPr>
          <w:gridAfter w:val="1"/>
          <w:wAfter w:w="240"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r>
      <w:tr>
        <w:tblPrEx>
          <w:tblCellMar>
            <w:top w:w="0" w:type="dxa"/>
            <w:left w:w="108" w:type="dxa"/>
            <w:bottom w:w="0" w:type="dxa"/>
            <w:right w:w="108" w:type="dxa"/>
          </w:tblCellMar>
        </w:tblPrEx>
        <w:trPr>
          <w:gridAfter w:val="1"/>
          <w:wAfter w:w="240" w:type="dxa"/>
          <w:trHeight w:val="37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r>
      <w:tr>
        <w:tblPrEx>
          <w:tblCellMar>
            <w:top w:w="0" w:type="dxa"/>
            <w:left w:w="108" w:type="dxa"/>
            <w:bottom w:w="0" w:type="dxa"/>
            <w:right w:w="108" w:type="dxa"/>
          </w:tblCellMar>
        </w:tblPrEx>
        <w:trPr>
          <w:gridAfter w:val="1"/>
          <w:wAfter w:w="240" w:type="dxa"/>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40"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40"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eastAsia" w:ascii="宋体" w:hAnsi="宋体" w:cs="宋体"/>
                <w:kern w:val="0"/>
                <w:sz w:val="24"/>
                <w:lang w:val="zh-CN" w:bidi="ar"/>
              </w:rPr>
            </w:pPr>
            <w:r>
              <w:rPr>
                <w:rFonts w:hint="eastAsia" w:ascii="宋体" w:hAnsi="宋体" w:cs="宋体"/>
                <w:kern w:val="0"/>
                <w:sz w:val="24"/>
                <w:lang w:val="en-US" w:eastAsia="zh-CN" w:bidi="ar"/>
              </w:rPr>
              <w:t>2021年计划新能源汽车用电专项资金140万元，预计为200辆新能源汽车提供用电支持，我市新能源汽车充电电费支付完成率争取达到 100%，在2021年12月完成2021年度新能源汽车充电电费支付。</w:t>
            </w:r>
          </w:p>
          <w:p>
            <w:pPr>
              <w:widowControl/>
              <w:spacing w:line="320" w:lineRule="exact"/>
              <w:jc w:val="left"/>
              <w:textAlignment w:val="top"/>
              <w:rPr>
                <w:rFonts w:ascii="宋体" w:hAnsi="宋体" w:cs="宋体"/>
                <w:sz w:val="24"/>
              </w:rPr>
            </w:pPr>
          </w:p>
        </w:tc>
        <w:tc>
          <w:tcPr>
            <w:tcW w:w="362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eastAsia" w:ascii="宋体" w:hAnsi="宋体" w:cs="宋体"/>
                <w:kern w:val="0"/>
                <w:sz w:val="24"/>
                <w:lang w:val="zh-CN" w:bidi="ar"/>
              </w:rPr>
            </w:pPr>
            <w:r>
              <w:rPr>
                <w:rFonts w:hint="eastAsia" w:ascii="宋体" w:hAnsi="宋体" w:cs="宋体"/>
                <w:kern w:val="0"/>
                <w:sz w:val="24"/>
                <w:lang w:val="en-US" w:eastAsia="zh-CN" w:bidi="ar"/>
              </w:rPr>
              <w:t>2021年计划新能源汽车用电专项资金140万元，实际为200辆新能源汽车提供用电支持，我市新能源汽车充电电费支付完成率达到 100%，在2021年12月完成了2021年度新能源汽车充电电费支付。</w:t>
            </w:r>
          </w:p>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40"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宋体" w:hAnsi="宋体" w:cs="宋体"/>
                <w:kern w:val="0"/>
                <w:sz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40" w:type="dxa"/>
          <w:trHeight w:val="77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kern w:val="0"/>
                <w:sz w:val="24"/>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kern w:val="0"/>
                <w:sz w:val="24"/>
                <w:lang w:val="en-US" w:eastAsia="zh-CN" w:bidi="ar"/>
              </w:rPr>
              <w:t>补助用电新能源汽车数量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200台</w:t>
            </w:r>
          </w:p>
        </w:tc>
      </w:tr>
      <w:tr>
        <w:tblPrEx>
          <w:tblCellMar>
            <w:top w:w="0" w:type="dxa"/>
            <w:left w:w="108" w:type="dxa"/>
            <w:bottom w:w="0" w:type="dxa"/>
            <w:right w:w="108" w:type="dxa"/>
          </w:tblCellMar>
        </w:tblPrEx>
        <w:trPr>
          <w:gridAfter w:val="1"/>
          <w:wAfter w:w="240"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用电保障</w:t>
            </w:r>
          </w:p>
          <w:p>
            <w:pPr>
              <w:pStyle w:val="8"/>
              <w:rPr>
                <w:rFonts w:hint="eastAsia"/>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保障全市新能源汽车的用电</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顺利保证了我市新能源车辆的正常运行</w:t>
            </w:r>
          </w:p>
        </w:tc>
      </w:tr>
      <w:tr>
        <w:tblPrEx>
          <w:tblCellMar>
            <w:top w:w="0" w:type="dxa"/>
            <w:left w:w="108" w:type="dxa"/>
            <w:bottom w:w="0" w:type="dxa"/>
            <w:right w:w="108" w:type="dxa"/>
          </w:tblCellMar>
        </w:tblPrEx>
        <w:trPr>
          <w:gridAfter w:val="1"/>
          <w:wAfter w:w="240"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2021年12月底</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2021年12月底</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补贴</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金额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140万元</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140万元</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节约社会公众出行成本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缓解新能源汽车用户的经济压力</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有效缓解了新能源汽车用户的经济压力</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保障我市新能源汽车的正常运行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保障我市新能源汽车的正常运行</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我市新能源公交车与新能源出租车保证了城市公共服务职能，方便了市民出行</w:t>
            </w:r>
          </w:p>
        </w:tc>
      </w:tr>
      <w:tr>
        <w:tblPrEx>
          <w:tblCellMar>
            <w:top w:w="0" w:type="dxa"/>
            <w:left w:w="108" w:type="dxa"/>
            <w:bottom w:w="0" w:type="dxa"/>
            <w:right w:w="108" w:type="dxa"/>
          </w:tblCellMar>
        </w:tblPrEx>
        <w:trPr>
          <w:gridAfter w:val="1"/>
          <w:wAfter w:w="240" w:type="dxa"/>
          <w:trHeight w:val="577"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降低环境污染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促进使用新能源汽车，保护环境</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目前我市新能源汽车200辆，年节能约2809吨标准煤</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lang w:val="en-US" w:eastAsia="zh-CN"/>
              </w:rPr>
            </w:pPr>
            <w:r>
              <w:rPr>
                <w:rFonts w:hint="eastAsia" w:ascii="宋体" w:hAnsi="宋体" w:cs="宋体"/>
                <w:kern w:val="0"/>
                <w:sz w:val="24"/>
                <w:lang w:val="en-US" w:eastAsia="zh-CN" w:bidi="ar"/>
              </w:rPr>
              <w:t>节能减排</w:t>
            </w:r>
          </w:p>
          <w:p>
            <w:pPr>
              <w:pStyle w:val="8"/>
              <w:rPr>
                <w:rFonts w:hint="eastAsia"/>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节约能源，降低废气排放</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成功节约了能源，降低了废气排放量</w:t>
            </w:r>
          </w:p>
        </w:tc>
      </w:tr>
      <w:tr>
        <w:tblPrEx>
          <w:tblCellMar>
            <w:top w:w="0" w:type="dxa"/>
            <w:left w:w="108" w:type="dxa"/>
            <w:bottom w:w="0" w:type="dxa"/>
            <w:right w:w="108" w:type="dxa"/>
          </w:tblCellMar>
        </w:tblPrEx>
        <w:trPr>
          <w:gridAfter w:val="1"/>
          <w:wAfter w:w="240"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我市新能源汽车充电用户对此满意度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default" w:ascii="宋体" w:hAnsi="宋体" w:cs="宋体"/>
                <w:kern w:val="0"/>
                <w:sz w:val="24"/>
                <w:lang w:val="en-US" w:eastAsia="zh-CN" w:bidi="ar"/>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97%</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default" w:ascii="宋体" w:hAnsi="宋体" w:cs="宋体"/>
                <w:kern w:val="0"/>
                <w:sz w:val="24"/>
                <w:lang w:val="en-US" w:eastAsia="zh-CN" w:bidi="ar"/>
              </w:rPr>
            </w:pPr>
          </w:p>
        </w:tc>
      </w:tr>
    </w:tbl>
    <w:p>
      <w:pPr>
        <w:spacing w:line="600" w:lineRule="exact"/>
        <w:jc w:val="center"/>
        <w:rPr>
          <w:rFonts w:hint="eastAsia" w:ascii="方正小标宋简体" w:hAnsi="宋体" w:eastAsia="方正小标宋简体"/>
          <w:color w:val="000000"/>
          <w:kern w:val="0"/>
          <w:sz w:val="44"/>
          <w:szCs w:val="44"/>
          <w:lang w:val="en-US" w:eastAsia="zh-CN"/>
        </w:rPr>
      </w:pPr>
    </w:p>
    <w:p>
      <w:pPr>
        <w:rPr>
          <w:rFonts w:hint="eastAsia" w:ascii="仿宋_GB2312" w:hAnsi="宋体" w:eastAsia="仿宋_GB2312"/>
          <w:sz w:val="32"/>
          <w:szCs w:val="32"/>
          <w:lang w:val="zh-CN"/>
        </w:rPr>
      </w:pPr>
    </w:p>
    <w:p>
      <w:pPr>
        <w:pStyle w:val="8"/>
        <w:rPr>
          <w:rFonts w:hint="eastAsia"/>
        </w:rPr>
        <w:sectPr>
          <w:pgSz w:w="11906" w:h="16838"/>
          <w:pgMar w:top="1440" w:right="1800" w:bottom="1440" w:left="1800" w:header="851" w:footer="992" w:gutter="0"/>
          <w:pgNumType w:fmt="decimal"/>
          <w:cols w:space="425" w:num="1"/>
          <w:docGrid w:type="lines" w:linePitch="312" w:charSpace="0"/>
        </w:sect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pStyle w:val="8"/>
              <w:jc w:val="center"/>
              <w:rPr>
                <w:rFonts w:hint="eastAsia" w:eastAsia="宋体"/>
                <w:highlight w:val="none"/>
                <w:lang w:eastAsia="zh-CN"/>
              </w:rPr>
            </w:pPr>
            <w:r>
              <w:rPr>
                <w:rFonts w:hint="eastAsia" w:ascii="宋体" w:hAnsi="宋体" w:cs="宋体"/>
                <w:b/>
                <w:bCs/>
                <w:sz w:val="32"/>
                <w:szCs w:val="32"/>
                <w:highlight w:val="none"/>
                <w:lang w:eastAsia="zh-CN"/>
              </w:rPr>
              <w:t>“8.11”洪灾交通应急项目资金</w:t>
            </w:r>
            <w:r>
              <w:rPr>
                <w:rFonts w:hint="eastAsia"/>
                <w:b/>
                <w:bCs/>
                <w:sz w:val="32"/>
                <w:szCs w:val="32"/>
                <w:highlight w:val="none"/>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645"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662"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234.88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w:t>
            </w:r>
          </w:p>
        </w:tc>
      </w:tr>
      <w:tr>
        <w:tblPrEx>
          <w:tblCellMar>
            <w:top w:w="0" w:type="dxa"/>
            <w:left w:w="108" w:type="dxa"/>
            <w:bottom w:w="0" w:type="dxa"/>
            <w:right w:w="108" w:type="dxa"/>
          </w:tblCellMar>
        </w:tblPrEx>
        <w:trPr>
          <w:gridAfter w:val="1"/>
          <w:wAfter w:w="236" w:type="dxa"/>
          <w:trHeight w:val="69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234.88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234.88</w:t>
            </w:r>
          </w:p>
        </w:tc>
      </w:tr>
      <w:tr>
        <w:tblPrEx>
          <w:tblCellMar>
            <w:top w:w="0" w:type="dxa"/>
            <w:left w:w="108" w:type="dxa"/>
            <w:bottom w:w="0" w:type="dxa"/>
            <w:right w:w="108" w:type="dxa"/>
          </w:tblCellMar>
        </w:tblPrEx>
        <w:trPr>
          <w:gridAfter w:val="1"/>
          <w:wAfter w:w="236" w:type="dxa"/>
          <w:trHeight w:val="51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502"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对洪灾损毁公路进行修复</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已完成18852平方米公路修复</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18852平方米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18852平方米</w:t>
            </w:r>
          </w:p>
        </w:tc>
      </w:tr>
      <w:tr>
        <w:tblPrEx>
          <w:tblCellMar>
            <w:top w:w="0" w:type="dxa"/>
            <w:left w:w="108" w:type="dxa"/>
            <w:bottom w:w="0" w:type="dxa"/>
            <w:right w:w="108" w:type="dxa"/>
          </w:tblCellMar>
        </w:tblPrEx>
        <w:trPr>
          <w:gridAfter w:val="1"/>
          <w:wAfter w:w="236" w:type="dxa"/>
          <w:trHeight w:val="1038"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9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198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234.88万元</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234.88万元</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234.88万元</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带动社会投资金额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rPr>
          <w:rFonts w:hint="eastAsia" w:ascii="方正小标宋简体" w:hAnsi="宋体" w:eastAsia="方正小标宋简体"/>
          <w:color w:val="000000"/>
          <w:kern w:val="0"/>
          <w:sz w:val="44"/>
          <w:szCs w:val="44"/>
          <w:highlight w:val="none"/>
        </w:rPr>
      </w:pPr>
    </w:p>
    <w:p>
      <w:pPr>
        <w:adjustRightInd w:val="0"/>
        <w:snapToGrid w:val="0"/>
        <w:spacing w:line="600" w:lineRule="exact"/>
        <w:ind w:firstLine="640" w:firstLineChars="200"/>
        <w:rPr>
          <w:rFonts w:ascii="仿宋_GB2312" w:hAnsi="宋体" w:eastAsia="仿宋_GB2312"/>
          <w:sz w:val="32"/>
          <w:szCs w:val="32"/>
          <w:highlight w:val="none"/>
          <w:lang w:val="zh-CN"/>
        </w:rPr>
      </w:pPr>
    </w:p>
    <w:p>
      <w:pPr>
        <w:pStyle w:val="8"/>
        <w:sectPr>
          <w:pgSz w:w="11906" w:h="16838"/>
          <w:pgMar w:top="1440" w:right="1800" w:bottom="1440" w:left="1800" w:header="851" w:footer="992" w:gutter="0"/>
          <w:pgNumType w:fmt="decimal"/>
          <w:cols w:space="425" w:num="1"/>
          <w:titlePg/>
          <w:docGrid w:type="lines" w:linePitch="312" w:charSpace="0"/>
        </w:sectPr>
      </w:pPr>
    </w:p>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highlight w:val="none"/>
              </w:rPr>
            </w:pPr>
            <w:r>
              <w:rPr>
                <w:rFonts w:hint="eastAsia" w:ascii="宋体" w:hAnsi="宋体" w:cs="宋体"/>
                <w:b/>
                <w:bCs/>
                <w:sz w:val="32"/>
                <w:szCs w:val="32"/>
                <w:highlight w:val="none"/>
                <w:lang w:eastAsia="zh-CN"/>
              </w:rPr>
              <w:t>20</w:t>
            </w:r>
            <w:r>
              <w:rPr>
                <w:rFonts w:hint="eastAsia" w:ascii="宋体" w:hAnsi="宋体" w:cs="宋体"/>
                <w:b/>
                <w:bCs/>
                <w:sz w:val="32"/>
                <w:szCs w:val="32"/>
                <w:highlight w:val="none"/>
                <w:lang w:val="en-US" w:eastAsia="zh-CN"/>
              </w:rPr>
              <w:t>20</w:t>
            </w:r>
            <w:r>
              <w:rPr>
                <w:rFonts w:hint="eastAsia" w:ascii="宋体" w:hAnsi="宋体" w:cs="宋体"/>
                <w:b/>
                <w:bCs/>
                <w:sz w:val="32"/>
                <w:szCs w:val="32"/>
                <w:highlight w:val="none"/>
                <w:lang w:eastAsia="zh-CN"/>
              </w:rPr>
              <w:t>年“四好农村路”以奖代补资金</w:t>
            </w:r>
            <w:r>
              <w:rPr>
                <w:rFonts w:hint="eastAsia"/>
                <w:b/>
                <w:bCs/>
                <w:sz w:val="32"/>
                <w:szCs w:val="32"/>
                <w:highlight w:val="none"/>
              </w:rPr>
              <w:t>绩效目标自评</w:t>
            </w:r>
          </w:p>
          <w:p>
            <w:pPr>
              <w:pStyle w:val="8"/>
              <w:jc w:val="center"/>
              <w:rPr>
                <w:rFonts w:hint="eastAsia" w:eastAsia="宋体"/>
                <w:highlight w:val="none"/>
                <w:lang w:eastAsia="zh-CN"/>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685"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83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r>
      <w:tr>
        <w:tblPrEx>
          <w:tblCellMar>
            <w:top w:w="0" w:type="dxa"/>
            <w:left w:w="108" w:type="dxa"/>
            <w:bottom w:w="0" w:type="dxa"/>
            <w:right w:w="108" w:type="dxa"/>
          </w:tblCellMar>
        </w:tblPrEx>
        <w:trPr>
          <w:gridAfter w:val="1"/>
          <w:wAfter w:w="236" w:type="dxa"/>
          <w:trHeight w:val="91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230</w:t>
            </w:r>
          </w:p>
        </w:tc>
      </w:tr>
      <w:tr>
        <w:tblPrEx>
          <w:tblCellMar>
            <w:top w:w="0" w:type="dxa"/>
            <w:left w:w="108" w:type="dxa"/>
            <w:bottom w:w="0" w:type="dxa"/>
            <w:right w:w="108" w:type="dxa"/>
          </w:tblCellMar>
        </w:tblPrEx>
        <w:trPr>
          <w:gridAfter w:val="1"/>
          <w:wAfter w:w="236" w:type="dxa"/>
          <w:trHeight w:val="75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对全市12个乡镇街道进行农村公路环境整治</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已完成全市12个乡镇街道进行农村公路环境整治</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带动社会投资金额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outlineLvl w:val="9"/>
        <w:rPr>
          <w:rFonts w:ascii="黑体" w:hAnsi="黑体" w:eastAsia="黑体"/>
          <w:sz w:val="44"/>
          <w:szCs w:val="44"/>
        </w:rPr>
      </w:pPr>
    </w:p>
    <w:p>
      <w:pPr>
        <w:pStyle w:val="8"/>
      </w:pPr>
    </w:p>
    <w:p>
      <w:pPr>
        <w:sectPr>
          <w:pgSz w:w="11906" w:h="16838"/>
          <w:pgMar w:top="1440" w:right="1800" w:bottom="1440" w:left="1800" w:header="851" w:footer="992" w:gutter="0"/>
          <w:pgNumType w:fmt="decimal"/>
          <w:cols w:space="425" w:num="1"/>
          <w:titlePg/>
          <w:docGrid w:type="lines" w:linePitch="312" w:charSpace="0"/>
        </w:sectPr>
      </w:pPr>
    </w:p>
    <w:p>
      <w:pPr>
        <w:pStyle w:val="8"/>
      </w:pPr>
    </w:p>
    <w:tbl>
      <w:tblPr>
        <w:tblStyle w:val="13"/>
        <w:tblW w:w="9811" w:type="dxa"/>
        <w:jc w:val="center"/>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lang w:eastAsia="zh-CN"/>
              </w:rPr>
              <w:t>养护和应急保通中心养护管理站建设</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905"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华蓥市交通运输局</w:t>
            </w:r>
          </w:p>
        </w:tc>
      </w:tr>
      <w:tr>
        <w:tblPrEx>
          <w:tblCellMar>
            <w:top w:w="0" w:type="dxa"/>
            <w:left w:w="108" w:type="dxa"/>
            <w:bottom w:w="0" w:type="dxa"/>
            <w:right w:w="108" w:type="dxa"/>
          </w:tblCellMar>
        </w:tblPrEx>
        <w:trPr>
          <w:gridAfter w:val="1"/>
          <w:wAfter w:w="236" w:type="dxa"/>
          <w:trHeight w:val="636"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r>
      <w:tr>
        <w:tblPrEx>
          <w:tblCellMar>
            <w:top w:w="0" w:type="dxa"/>
            <w:left w:w="108" w:type="dxa"/>
            <w:bottom w:w="0" w:type="dxa"/>
            <w:right w:w="108" w:type="dxa"/>
          </w:tblCellMar>
        </w:tblPrEx>
        <w:trPr>
          <w:gridAfter w:val="1"/>
          <w:wAfter w:w="236" w:type="dxa"/>
          <w:trHeight w:val="436"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580"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建设养护和应急保通中心养护管理站1个</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建设养护和应急保通中心养护管理站1个</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合格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合格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按时完成工程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2021.12.31前完工。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2021.12.31前完工。</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实际成本500万元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带动社会投资金额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持续提高</w:t>
            </w:r>
            <w:r>
              <w:rPr>
                <w:rFonts w:hint="eastAsia" w:ascii="宋体" w:hAnsi="宋体" w:cs="宋体"/>
                <w:kern w:val="0"/>
                <w:sz w:val="24"/>
                <w:lang w:val="en-US" w:eastAsia="zh-CN" w:bidi="ar"/>
              </w:rPr>
              <w:t>养护能力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持续提高</w:t>
            </w:r>
            <w:r>
              <w:rPr>
                <w:rFonts w:hint="eastAsia" w:ascii="宋体" w:hAnsi="宋体" w:cs="宋体"/>
                <w:kern w:val="0"/>
                <w:sz w:val="24"/>
                <w:lang w:val="en-US" w:eastAsia="zh-CN" w:bidi="ar"/>
              </w:rPr>
              <w:t>养护能力</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确保公路养护和应急保通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保障公路养护和应急保通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完全保障对公路养护和应急保通</w:t>
            </w: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85%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社会群众满意度达到90%</w:t>
            </w:r>
          </w:p>
        </w:tc>
      </w:tr>
    </w:tbl>
    <w:p>
      <w:pPr>
        <w:spacing w:line="600" w:lineRule="exact"/>
        <w:jc w:val="center"/>
        <w:rPr>
          <w:rFonts w:hint="eastAsia" w:ascii="方正小标宋简体" w:hAnsi="宋体" w:eastAsia="方正小标宋简体"/>
          <w:color w:val="000000"/>
          <w:kern w:val="0"/>
          <w:sz w:val="44"/>
          <w:szCs w:val="44"/>
        </w:rPr>
      </w:pPr>
    </w:p>
    <w:p>
      <w:pPr>
        <w:rPr>
          <w:rFonts w:hint="eastAsia"/>
          <w:lang w:val="zh-CN"/>
        </w:rPr>
      </w:pPr>
    </w:p>
    <w:p>
      <w:pPr>
        <w:pStyle w:val="8"/>
      </w:pPr>
    </w:p>
    <w:p>
      <w:pPr>
        <w:sectPr>
          <w:pgSz w:w="11906" w:h="16838"/>
          <w:pgMar w:top="1440" w:right="1800" w:bottom="1440" w:left="1800" w:header="851" w:footer="992" w:gutter="0"/>
          <w:pgNumType w:fmt="decimal"/>
          <w:cols w:space="425" w:num="1"/>
          <w:titlePg/>
          <w:docGrid w:type="lines" w:linePitch="312" w:charSpace="0"/>
        </w:sectPr>
      </w:pPr>
    </w:p>
    <w:p>
      <w:pPr>
        <w:pStyle w:val="8"/>
      </w:pPr>
    </w:p>
    <w:tbl>
      <w:tblPr>
        <w:tblStyle w:val="13"/>
        <w:tblW w:w="9575" w:type="dxa"/>
        <w:jc w:val="center"/>
        <w:tblLayout w:type="fixed"/>
        <w:tblCellMar>
          <w:top w:w="0" w:type="dxa"/>
          <w:left w:w="108" w:type="dxa"/>
          <w:bottom w:w="0" w:type="dxa"/>
          <w:right w:w="108" w:type="dxa"/>
        </w:tblCellMar>
      </w:tblPr>
      <w:tblGrid>
        <w:gridCol w:w="1976"/>
        <w:gridCol w:w="1142"/>
        <w:gridCol w:w="1635"/>
        <w:gridCol w:w="1297"/>
        <w:gridCol w:w="1116"/>
        <w:gridCol w:w="2409"/>
      </w:tblGrid>
      <w:tr>
        <w:tblPrEx>
          <w:tblCellMar>
            <w:top w:w="0" w:type="dxa"/>
            <w:left w:w="108" w:type="dxa"/>
            <w:bottom w:w="0" w:type="dxa"/>
            <w:right w:w="108" w:type="dxa"/>
          </w:tblCellMar>
        </w:tblPrEx>
        <w:trPr>
          <w:trHeight w:val="561"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rPr>
            </w:pPr>
            <w:r>
              <w:rPr>
                <w:rFonts w:hint="eastAsia" w:ascii="宋体" w:hAnsi="宋体" w:cs="宋体"/>
                <w:b/>
                <w:bCs/>
                <w:sz w:val="32"/>
                <w:szCs w:val="32"/>
                <w:lang w:eastAsia="zh-CN"/>
              </w:rPr>
              <w:t>20</w:t>
            </w:r>
            <w:r>
              <w:rPr>
                <w:rFonts w:hint="eastAsia" w:ascii="宋体" w:hAnsi="宋体" w:cs="宋体"/>
                <w:b/>
                <w:bCs/>
                <w:sz w:val="32"/>
                <w:szCs w:val="32"/>
                <w:lang w:val="en-US" w:eastAsia="zh-CN"/>
              </w:rPr>
              <w:t>20</w:t>
            </w:r>
            <w:r>
              <w:rPr>
                <w:rFonts w:hint="eastAsia" w:ascii="宋体" w:hAnsi="宋体" w:cs="宋体"/>
                <w:b/>
                <w:bCs/>
                <w:sz w:val="32"/>
                <w:szCs w:val="32"/>
                <w:lang w:eastAsia="zh-CN"/>
              </w:rPr>
              <w:t>年“四好农村路”示范县专项补助</w:t>
            </w:r>
            <w:r>
              <w:rPr>
                <w:rFonts w:hint="eastAsia"/>
                <w:b/>
                <w:bCs/>
                <w:sz w:val="32"/>
                <w:szCs w:val="32"/>
              </w:rPr>
              <w:t>绩效目标自评</w:t>
            </w:r>
          </w:p>
          <w:p>
            <w:pPr>
              <w:pStyle w:val="8"/>
              <w:jc w:val="both"/>
              <w:rPr>
                <w:rFonts w:hint="eastAsia" w:eastAsia="宋体"/>
                <w:lang w:eastAsia="zh-CN"/>
              </w:rPr>
            </w:pPr>
          </w:p>
        </w:tc>
      </w:tr>
      <w:tr>
        <w:tblPrEx>
          <w:tblCellMar>
            <w:top w:w="0" w:type="dxa"/>
            <w:left w:w="108" w:type="dxa"/>
            <w:bottom w:w="0" w:type="dxa"/>
            <w:right w:w="108" w:type="dxa"/>
          </w:tblCellMar>
        </w:tblPrEx>
        <w:trPr>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trHeight w:val="64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314.85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r>
      <w:tr>
        <w:tblPrEx>
          <w:tblCellMar>
            <w:top w:w="0" w:type="dxa"/>
            <w:left w:w="108" w:type="dxa"/>
            <w:bottom w:w="0" w:type="dxa"/>
            <w:right w:w="108" w:type="dxa"/>
          </w:tblCellMar>
        </w:tblPrEx>
        <w:trPr>
          <w:trHeight w:val="7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314.85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314.85</w:t>
            </w:r>
          </w:p>
        </w:tc>
      </w:tr>
      <w:tr>
        <w:tblPrEx>
          <w:tblCellMar>
            <w:top w:w="0" w:type="dxa"/>
            <w:left w:w="108" w:type="dxa"/>
            <w:bottom w:w="0" w:type="dxa"/>
            <w:right w:w="108" w:type="dxa"/>
          </w:tblCellMar>
        </w:tblPrEx>
        <w:trPr>
          <w:trHeight w:val="54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对全市12个乡镇、街道修建农村公路进行补助</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已对57.14公里农村公路进行补助</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57.14公里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57.14公里</w:t>
            </w:r>
          </w:p>
        </w:tc>
      </w:tr>
      <w:tr>
        <w:tblPrEx>
          <w:tblCellMar>
            <w:top w:w="0" w:type="dxa"/>
            <w:left w:w="108" w:type="dxa"/>
            <w:bottom w:w="0" w:type="dxa"/>
            <w:right w:w="108" w:type="dxa"/>
          </w:tblCellMar>
        </w:tblPrEx>
        <w:trPr>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r>
      <w:tr>
        <w:tblPrEx>
          <w:tblCellMar>
            <w:top w:w="0" w:type="dxa"/>
            <w:left w:w="108" w:type="dxa"/>
            <w:bottom w:w="0" w:type="dxa"/>
            <w:right w:w="108" w:type="dxa"/>
          </w:tblCellMar>
        </w:tblPrEx>
        <w:trPr>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转型发展农业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ectPr>
          <w:pgSz w:w="11906" w:h="16838"/>
          <w:pgMar w:top="1440" w:right="1800" w:bottom="1440" w:left="1800" w:header="851" w:footer="992" w:gutter="0"/>
          <w:pgNumType w:fmt="decimal"/>
          <w:cols w:space="425" w:num="1"/>
          <w:titlePg/>
          <w:docGrid w:type="lines" w:linePitch="312" w:charSpace="0"/>
        </w:sectPr>
      </w:pPr>
    </w:p>
    <w:p>
      <w:pPr>
        <w:pStyle w:val="8"/>
      </w:pPr>
    </w:p>
    <w:tbl>
      <w:tblPr>
        <w:tblStyle w:val="13"/>
        <w:tblW w:w="9575" w:type="dxa"/>
        <w:jc w:val="center"/>
        <w:tblLayout w:type="fixed"/>
        <w:tblCellMar>
          <w:top w:w="0" w:type="dxa"/>
          <w:left w:w="108" w:type="dxa"/>
          <w:bottom w:w="0" w:type="dxa"/>
          <w:right w:w="108" w:type="dxa"/>
        </w:tblCellMar>
      </w:tblPr>
      <w:tblGrid>
        <w:gridCol w:w="1976"/>
        <w:gridCol w:w="1142"/>
        <w:gridCol w:w="1635"/>
        <w:gridCol w:w="1297"/>
        <w:gridCol w:w="1116"/>
        <w:gridCol w:w="2409"/>
      </w:tblGrid>
      <w:tr>
        <w:tblPrEx>
          <w:tblCellMar>
            <w:top w:w="0" w:type="dxa"/>
            <w:left w:w="108" w:type="dxa"/>
            <w:bottom w:w="0" w:type="dxa"/>
            <w:right w:w="108" w:type="dxa"/>
          </w:tblCellMar>
        </w:tblPrEx>
        <w:trPr>
          <w:trHeight w:val="561"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rPr>
            </w:pPr>
            <w:r>
              <w:rPr>
                <w:rFonts w:hint="eastAsia" w:ascii="宋体" w:hAnsi="宋体" w:cs="宋体"/>
                <w:b/>
                <w:bCs/>
                <w:sz w:val="32"/>
                <w:szCs w:val="32"/>
                <w:lang w:eastAsia="zh-CN"/>
              </w:rPr>
              <w:t>农村客运成品油价格补助资金</w:t>
            </w:r>
            <w:r>
              <w:rPr>
                <w:rFonts w:hint="eastAsia"/>
                <w:b/>
                <w:bCs/>
                <w:sz w:val="32"/>
                <w:szCs w:val="32"/>
              </w:rPr>
              <w:t>绩效目标自评</w:t>
            </w:r>
          </w:p>
          <w:p>
            <w:pPr>
              <w:pStyle w:val="8"/>
              <w:jc w:val="both"/>
              <w:rPr>
                <w:rFonts w:hint="eastAsia" w:eastAsia="宋体"/>
                <w:lang w:eastAsia="zh-CN"/>
              </w:rPr>
            </w:pPr>
          </w:p>
        </w:tc>
      </w:tr>
      <w:tr>
        <w:tblPrEx>
          <w:tblCellMar>
            <w:top w:w="0" w:type="dxa"/>
            <w:left w:w="108" w:type="dxa"/>
            <w:bottom w:w="0" w:type="dxa"/>
            <w:right w:w="108" w:type="dxa"/>
          </w:tblCellMar>
        </w:tblPrEx>
        <w:trPr>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trHeight w:val="64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346.05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346.05</w:t>
            </w:r>
          </w:p>
        </w:tc>
      </w:tr>
      <w:tr>
        <w:tblPrEx>
          <w:tblCellMar>
            <w:top w:w="0" w:type="dxa"/>
            <w:left w:w="108" w:type="dxa"/>
            <w:bottom w:w="0" w:type="dxa"/>
            <w:right w:w="108" w:type="dxa"/>
          </w:tblCellMar>
        </w:tblPrEx>
        <w:trPr>
          <w:trHeight w:val="7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346.05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346.05</w:t>
            </w:r>
          </w:p>
        </w:tc>
      </w:tr>
      <w:tr>
        <w:tblPrEx>
          <w:tblCellMar>
            <w:top w:w="0" w:type="dxa"/>
            <w:left w:w="108" w:type="dxa"/>
            <w:bottom w:w="0" w:type="dxa"/>
            <w:right w:w="108" w:type="dxa"/>
          </w:tblCellMar>
        </w:tblPrEx>
        <w:trPr>
          <w:trHeight w:val="54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default" w:ascii="宋体" w:hAnsi="宋体" w:cs="宋体"/>
                <w:kern w:val="0"/>
                <w:sz w:val="24"/>
                <w:lang w:val="en-US" w:eastAsia="zh-CN" w:bidi="ar"/>
              </w:rPr>
              <w:t>用于弥补农村客运车辆日常经营的亏损；巩固农村客运建制村100%通客车成果；保障市内农村客运运输市场稳定发展，保障农民群众的日常出行需</w:t>
            </w:r>
          </w:p>
          <w:p>
            <w:pPr>
              <w:widowControl/>
              <w:spacing w:line="320" w:lineRule="exact"/>
              <w:jc w:val="both"/>
              <w:textAlignment w:val="bottom"/>
              <w:rPr>
                <w:rFonts w:hint="default" w:ascii="宋体" w:hAnsi="宋体" w:cs="宋体"/>
                <w:kern w:val="0"/>
                <w:sz w:val="24"/>
                <w:lang w:val="en-US" w:eastAsia="zh-CN" w:bidi="ar"/>
              </w:rPr>
            </w:pPr>
            <w:r>
              <w:rPr>
                <w:rFonts w:hint="default" w:ascii="宋体" w:hAnsi="宋体" w:cs="宋体"/>
                <w:kern w:val="0"/>
                <w:sz w:val="24"/>
                <w:lang w:val="en-US" w:eastAsia="zh-CN" w:bidi="ar"/>
              </w:rPr>
              <w:t>求</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用于弥补农村客运车辆日常经营的亏损；巩固农村客运建制村100%通客车成果；保障市内农村客运运输市场稳定发展，保障农民群众的日常出行需求</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补助农村客运企业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2家农客企业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2家农客企业</w:t>
            </w:r>
          </w:p>
          <w:p>
            <w:pPr>
              <w:pStyle w:val="8"/>
              <w:rPr>
                <w:rFonts w:hint="eastAsia"/>
                <w:lang w:val="en-US" w:eastAsia="zh-CN"/>
              </w:rPr>
            </w:pPr>
          </w:p>
        </w:tc>
      </w:tr>
      <w:tr>
        <w:tblPrEx>
          <w:tblCellMar>
            <w:top w:w="0" w:type="dxa"/>
            <w:left w:w="108" w:type="dxa"/>
            <w:bottom w:w="0" w:type="dxa"/>
            <w:right w:w="108" w:type="dxa"/>
          </w:tblCellMar>
        </w:tblPrEx>
        <w:trPr>
          <w:trHeight w:val="10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公示7日后补贴到位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发放完成时间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2021年年末前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2021年12月前</w:t>
            </w:r>
          </w:p>
        </w:tc>
      </w:tr>
      <w:tr>
        <w:tblPrEx>
          <w:tblCellMar>
            <w:top w:w="0" w:type="dxa"/>
            <w:left w:w="108" w:type="dxa"/>
            <w:bottom w:w="0" w:type="dxa"/>
            <w:right w:w="108" w:type="dxa"/>
          </w:tblCellMar>
        </w:tblPrEx>
        <w:trPr>
          <w:trHeight w:val="79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p>
            <w:pPr>
              <w:pStyle w:val="8"/>
              <w:rPr>
                <w:rFonts w:hint="eastAsia"/>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农村客运成品油补贴金额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346.05万元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346.05万元</w:t>
            </w:r>
          </w:p>
        </w:tc>
      </w:tr>
      <w:tr>
        <w:tblPrEx>
          <w:tblCellMar>
            <w:top w:w="0" w:type="dxa"/>
            <w:left w:w="108" w:type="dxa"/>
            <w:bottom w:w="0" w:type="dxa"/>
            <w:right w:w="108" w:type="dxa"/>
          </w:tblCellMar>
        </w:tblPrEx>
        <w:trPr>
          <w:trHeight w:val="117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lang w:val="en-US" w:eastAsia="zh-CN"/>
              </w:rPr>
            </w:pPr>
            <w:r>
              <w:rPr>
                <w:rFonts w:hint="eastAsia" w:ascii="宋体" w:hAnsi="宋体" w:cs="宋体"/>
                <w:kern w:val="0"/>
                <w:sz w:val="24"/>
                <w:lang w:val="en-US" w:eastAsia="zh-CN" w:bidi="ar"/>
              </w:rPr>
              <w:t>经济效益指标</w:t>
            </w:r>
          </w:p>
          <w:p>
            <w:pPr>
              <w:pStyle w:val="8"/>
              <w:rPr>
                <w:rFonts w:hint="eastAsia"/>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弥补农村客运车辆日常经营的亏损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保障乡村群众日常出行需求得到满足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保障农村客运市场的发展和车辆保有数量，维持农村客运市场持续发展，有利于减少汽车尾气排放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98%</w:t>
            </w:r>
          </w:p>
        </w:tc>
      </w:tr>
      <w:tr>
        <w:tblPrEx>
          <w:tblCellMar>
            <w:top w:w="0" w:type="dxa"/>
            <w:left w:w="108" w:type="dxa"/>
            <w:bottom w:w="0" w:type="dxa"/>
            <w:right w:w="108" w:type="dxa"/>
          </w:tblCellMar>
        </w:tblPrEx>
        <w:trPr>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提高公共交通出行在总出行方式中的占比</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98%</w:t>
            </w:r>
          </w:p>
        </w:tc>
      </w:tr>
      <w:tr>
        <w:tblPrEx>
          <w:tblCellMar>
            <w:top w:w="0" w:type="dxa"/>
            <w:left w:w="108" w:type="dxa"/>
            <w:bottom w:w="0" w:type="dxa"/>
            <w:right w:w="108" w:type="dxa"/>
          </w:tblCellMar>
        </w:tblPrEx>
        <w:trPr>
          <w:trHeight w:val="1004"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力争群众对我局工作的满意度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98%</w:t>
            </w:r>
          </w:p>
        </w:tc>
      </w:tr>
    </w:tbl>
    <w:p>
      <w:pPr>
        <w:spacing w:line="600" w:lineRule="exact"/>
        <w:jc w:val="center"/>
        <w:outlineLvl w:val="9"/>
        <w:rPr>
          <w:rFonts w:ascii="黑体" w:hAnsi="黑体" w:eastAsia="黑体"/>
          <w:sz w:val="44"/>
          <w:szCs w:val="44"/>
        </w:rPr>
      </w:pPr>
    </w:p>
    <w:p>
      <w:pPr>
        <w:ind w:firstLine="640" w:firstLineChars="200"/>
        <w:rPr>
          <w:rFonts w:hint="eastAsia" w:ascii="仿宋_GB2312" w:hAnsi="宋体" w:eastAsia="仿宋_GB2312"/>
          <w:sz w:val="32"/>
          <w:szCs w:val="32"/>
          <w:lang w:val="zh-CN"/>
        </w:rPr>
        <w:sectPr>
          <w:pgSz w:w="11906" w:h="16838"/>
          <w:pgMar w:top="1440" w:right="1800" w:bottom="1440" w:left="1800" w:header="851" w:footer="992" w:gutter="0"/>
          <w:pgNumType w:fmt="decimal"/>
          <w:cols w:space="425" w:num="1"/>
          <w:titlePg/>
          <w:docGrid w:type="lines" w:linePitch="312" w:charSpace="0"/>
        </w:sectPr>
      </w:pPr>
    </w:p>
    <w:p>
      <w:pPr>
        <w:widowControl/>
        <w:spacing w:line="320" w:lineRule="exact"/>
        <w:jc w:val="center"/>
        <w:textAlignment w:val="bottom"/>
        <w:rPr>
          <w:rFonts w:hint="eastAsia" w:ascii="宋体" w:hAnsi="宋体" w:cs="宋体"/>
          <w:kern w:val="0"/>
          <w:sz w:val="24"/>
          <w:lang w:val="en-US" w:eastAsia="zh-CN" w:bidi="ar"/>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pStyle w:val="8"/>
              <w:jc w:val="center"/>
              <w:rPr>
                <w:rFonts w:hint="eastAsia" w:eastAsia="宋体"/>
                <w:highlight w:val="none"/>
                <w:lang w:eastAsia="zh-CN"/>
              </w:rPr>
            </w:pPr>
            <w:r>
              <w:rPr>
                <w:rFonts w:hint="eastAsia" w:ascii="宋体" w:hAnsi="宋体" w:cs="宋体"/>
                <w:b/>
                <w:bCs/>
                <w:sz w:val="32"/>
                <w:szCs w:val="32"/>
                <w:highlight w:val="none"/>
                <w:lang w:eastAsia="zh-CN"/>
              </w:rPr>
              <w:t>车辆购置税收入补助普通省道和农村公路项目</w:t>
            </w:r>
            <w:r>
              <w:rPr>
                <w:rFonts w:hint="eastAsia"/>
                <w:b/>
                <w:bCs/>
                <w:sz w:val="32"/>
                <w:szCs w:val="32"/>
                <w:highlight w:val="none"/>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3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502"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610.6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w:t>
            </w:r>
          </w:p>
        </w:tc>
      </w:tr>
      <w:tr>
        <w:tblPrEx>
          <w:tblCellMar>
            <w:top w:w="0" w:type="dxa"/>
            <w:left w:w="108" w:type="dxa"/>
            <w:bottom w:w="0" w:type="dxa"/>
            <w:right w:w="108" w:type="dxa"/>
          </w:tblCellMar>
        </w:tblPrEx>
        <w:trPr>
          <w:gridAfter w:val="1"/>
          <w:wAfter w:w="236" w:type="dxa"/>
          <w:trHeight w:val="7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610.6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610.6</w:t>
            </w:r>
          </w:p>
        </w:tc>
      </w:tr>
      <w:tr>
        <w:tblPrEx>
          <w:tblCellMar>
            <w:top w:w="0" w:type="dxa"/>
            <w:left w:w="108" w:type="dxa"/>
            <w:bottom w:w="0" w:type="dxa"/>
            <w:right w:w="108" w:type="dxa"/>
          </w:tblCellMar>
        </w:tblPrEx>
        <w:trPr>
          <w:gridAfter w:val="1"/>
          <w:wAfter w:w="236" w:type="dxa"/>
          <w:trHeight w:val="56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51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新建1处客运站</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已完成客运站建设</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outlineLvl w:val="9"/>
        <w:rPr>
          <w:rFonts w:hint="eastAsia" w:ascii="黑体" w:hAnsi="黑体" w:eastAsia="黑体"/>
          <w:sz w:val="44"/>
          <w:szCs w:val="44"/>
        </w:rPr>
      </w:pPr>
    </w:p>
    <w:p>
      <w:pPr>
        <w:pStyle w:val="8"/>
        <w:rPr>
          <w:rFonts w:hint="eastAsia"/>
        </w:rPr>
        <w:sectPr>
          <w:pgSz w:w="11906" w:h="16838"/>
          <w:pgMar w:top="1440" w:right="1800" w:bottom="1440" w:left="1800" w:header="851" w:footer="992" w:gutter="0"/>
          <w:pgNumType w:fmt="decimal"/>
          <w:cols w:space="425" w:num="1"/>
          <w:titlePg/>
          <w:docGrid w:type="lines" w:linePitch="312" w:charSpace="0"/>
        </w:sectPr>
      </w:pPr>
    </w:p>
    <w:p>
      <w:pPr>
        <w:rPr>
          <w:rFonts w:hint="eastAsia"/>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pStyle w:val="8"/>
              <w:jc w:val="center"/>
              <w:rPr>
                <w:rFonts w:hint="eastAsia" w:eastAsia="宋体"/>
                <w:highlight w:val="none"/>
                <w:lang w:eastAsia="zh-CN"/>
              </w:rPr>
            </w:pPr>
            <w:r>
              <w:rPr>
                <w:rFonts w:hint="eastAsia" w:ascii="宋体" w:hAnsi="宋体" w:cs="宋体"/>
                <w:b/>
                <w:bCs/>
                <w:sz w:val="32"/>
                <w:szCs w:val="32"/>
                <w:highlight w:val="none"/>
                <w:lang w:eastAsia="zh-CN"/>
              </w:rPr>
              <w:t>成品油税费改革用于G350预防性养护和中修</w:t>
            </w:r>
            <w:r>
              <w:rPr>
                <w:rFonts w:hint="eastAsia"/>
                <w:b/>
                <w:bCs/>
                <w:sz w:val="32"/>
                <w:szCs w:val="32"/>
                <w:highlight w:val="none"/>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70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581.32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w:t>
            </w:r>
          </w:p>
        </w:tc>
      </w:tr>
      <w:tr>
        <w:tblPrEx>
          <w:tblCellMar>
            <w:top w:w="0" w:type="dxa"/>
            <w:left w:w="108" w:type="dxa"/>
            <w:bottom w:w="0" w:type="dxa"/>
            <w:right w:w="108" w:type="dxa"/>
          </w:tblCellMar>
        </w:tblPrEx>
        <w:trPr>
          <w:gridAfter w:val="1"/>
          <w:wAfter w:w="236" w:type="dxa"/>
          <w:trHeight w:val="740"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581.32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581.32</w:t>
            </w:r>
          </w:p>
        </w:tc>
      </w:tr>
      <w:tr>
        <w:tblPrEx>
          <w:tblCellMar>
            <w:top w:w="0" w:type="dxa"/>
            <w:left w:w="108" w:type="dxa"/>
            <w:bottom w:w="0" w:type="dxa"/>
            <w:right w:w="108" w:type="dxa"/>
          </w:tblCellMar>
        </w:tblPrEx>
        <w:trPr>
          <w:gridAfter w:val="1"/>
          <w:wAfter w:w="236" w:type="dxa"/>
          <w:trHeight w:val="62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实施G350大中修10公里</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实施G350大中修10公里</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10公里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10公里</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满意</w:t>
            </w:r>
            <w:r>
              <w:rPr>
                <w:rFonts w:hint="eastAsia" w:ascii="宋体" w:hAnsi="宋体" w:cs="宋体"/>
                <w:color w:val="auto"/>
                <w:kern w:val="0"/>
                <w:sz w:val="24"/>
                <w:lang w:val="en-US" w:eastAsia="zh-CN" w:bidi="ar"/>
              </w:rPr>
              <w:br w:type="textWrapping"/>
            </w:r>
            <w:r>
              <w:rPr>
                <w:rFonts w:hint="eastAsia" w:ascii="宋体" w:hAnsi="宋体" w:cs="宋体"/>
                <w:color w:val="auto"/>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满意度</w:t>
            </w:r>
          </w:p>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95%</w:t>
            </w:r>
          </w:p>
        </w:tc>
      </w:tr>
    </w:tbl>
    <w:p>
      <w:pPr>
        <w:widowControl/>
        <w:spacing w:line="320" w:lineRule="exact"/>
        <w:jc w:val="both"/>
        <w:textAlignment w:val="bottom"/>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pStyle w:val="8"/>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pStyle w:val="8"/>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pStyle w:val="8"/>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rPr>
          <w:rFonts w:hint="eastAsia"/>
          <w:lang w:val="en-US" w:eastAsia="zh-CN"/>
        </w:rPr>
      </w:pPr>
    </w:p>
    <w:p>
      <w:pPr>
        <w:rPr>
          <w:rFonts w:hint="eastAsia" w:ascii="宋体" w:hAnsi="宋体" w:cs="宋体"/>
          <w:kern w:val="0"/>
          <w:sz w:val="24"/>
          <w:lang w:val="en-US" w:eastAsia="zh-CN" w:bidi="ar"/>
        </w:rPr>
      </w:pPr>
    </w:p>
    <w:p>
      <w:pPr>
        <w:pStyle w:val="8"/>
        <w:rPr>
          <w:rFonts w:hint="eastAsia"/>
          <w:lang w:val="en-US" w:eastAsia="zh-CN"/>
        </w:rPr>
      </w:pPr>
    </w:p>
    <w:p>
      <w:pPr>
        <w:widowControl/>
        <w:spacing w:line="320" w:lineRule="exact"/>
        <w:jc w:val="center"/>
        <w:textAlignment w:val="bottom"/>
        <w:rPr>
          <w:rFonts w:hint="eastAsia" w:ascii="宋体" w:hAnsi="宋体" w:cs="宋体"/>
          <w:kern w:val="0"/>
          <w:sz w:val="24"/>
          <w:lang w:val="en-US" w:eastAsia="zh-CN" w:bidi="ar"/>
        </w:rPr>
      </w:pPr>
    </w:p>
    <w:p>
      <w:pPr>
        <w:pStyle w:val="8"/>
        <w:rPr>
          <w:rFonts w:hint="eastAsia"/>
        </w:rPr>
      </w:pPr>
    </w:p>
    <w:tbl>
      <w:tblPr>
        <w:tblStyle w:val="13"/>
        <w:tblpPr w:leftFromText="180" w:rightFromText="180" w:vertAnchor="page" w:horzAnchor="page" w:tblpX="1240" w:tblpY="1812"/>
        <w:tblOverlap w:val="never"/>
        <w:tblW w:w="9811" w:type="dxa"/>
        <w:tblInd w:w="0" w:type="dxa"/>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highlight w:val="none"/>
              </w:rPr>
            </w:pPr>
            <w:r>
              <w:rPr>
                <w:rFonts w:hint="eastAsia" w:ascii="宋体" w:hAnsi="宋体" w:cs="宋体"/>
                <w:b/>
                <w:bCs/>
                <w:sz w:val="32"/>
                <w:szCs w:val="32"/>
                <w:highlight w:val="none"/>
                <w:lang w:eastAsia="zh-CN"/>
              </w:rPr>
              <w:t>成品油税费改革用于农村公路养护</w:t>
            </w:r>
            <w:r>
              <w:rPr>
                <w:rFonts w:hint="eastAsia"/>
                <w:b/>
                <w:bCs/>
                <w:sz w:val="32"/>
                <w:szCs w:val="32"/>
                <w:highlight w:val="none"/>
              </w:rPr>
              <w:t>绩效目标自评</w:t>
            </w:r>
          </w:p>
          <w:p>
            <w:pPr>
              <w:pStyle w:val="8"/>
              <w:jc w:val="center"/>
              <w:rPr>
                <w:rFonts w:hint="eastAsia" w:eastAsia="宋体"/>
                <w:highlight w:val="none"/>
                <w:lang w:eastAsia="zh-CN"/>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15"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587"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r>
      <w:tr>
        <w:tblPrEx>
          <w:tblCellMar>
            <w:top w:w="0" w:type="dxa"/>
            <w:left w:w="108" w:type="dxa"/>
            <w:bottom w:w="0" w:type="dxa"/>
            <w:right w:w="108" w:type="dxa"/>
          </w:tblCellMar>
        </w:tblPrEx>
        <w:trPr>
          <w:gridAfter w:val="1"/>
          <w:wAfter w:w="236" w:type="dxa"/>
          <w:trHeight w:val="800"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120.1</w:t>
            </w:r>
          </w:p>
        </w:tc>
      </w:tr>
      <w:tr>
        <w:tblPrEx>
          <w:tblCellMar>
            <w:top w:w="0" w:type="dxa"/>
            <w:left w:w="108" w:type="dxa"/>
            <w:bottom w:w="0" w:type="dxa"/>
            <w:right w:w="108" w:type="dxa"/>
          </w:tblCellMar>
        </w:tblPrEx>
        <w:trPr>
          <w:gridAfter w:val="1"/>
          <w:wAfter w:w="236" w:type="dxa"/>
          <w:trHeight w:val="577"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对华蓥市1114.3公里农村公路进行养护</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已完成1114.3公里农村公路养护</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1114.3公里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1114.3公里</w:t>
            </w:r>
          </w:p>
        </w:tc>
      </w:tr>
      <w:tr>
        <w:tblPrEx>
          <w:tblCellMar>
            <w:top w:w="0" w:type="dxa"/>
            <w:left w:w="108" w:type="dxa"/>
            <w:bottom w:w="0" w:type="dxa"/>
            <w:right w:w="108" w:type="dxa"/>
          </w:tblCellMar>
        </w:tblPrEx>
        <w:trPr>
          <w:gridAfter w:val="1"/>
          <w:wAfter w:w="236" w:type="dxa"/>
          <w:trHeight w:val="1223"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r>
      <w:tr>
        <w:tblPrEx>
          <w:tblCellMar>
            <w:top w:w="0" w:type="dxa"/>
            <w:left w:w="108" w:type="dxa"/>
            <w:bottom w:w="0" w:type="dxa"/>
            <w:right w:w="108" w:type="dxa"/>
          </w:tblCellMar>
        </w:tblPrEx>
        <w:trPr>
          <w:gridAfter w:val="1"/>
          <w:wAfter w:w="236" w:type="dxa"/>
          <w:trHeight w:val="98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rPr>
          <w:rFonts w:hint="eastAsia" w:ascii="方正小标宋简体" w:hAnsi="宋体" w:eastAsia="方正小标宋简体"/>
          <w:color w:val="000000"/>
          <w:kern w:val="0"/>
          <w:sz w:val="44"/>
          <w:szCs w:val="44"/>
          <w:highlight w:val="none"/>
        </w:rPr>
      </w:pPr>
    </w:p>
    <w:p>
      <w:pPr>
        <w:pStyle w:val="8"/>
        <w:rPr>
          <w:rFonts w:hint="eastAsia" w:ascii="仿宋_GB2312" w:hAnsi="宋体" w:eastAsia="仿宋_GB2312"/>
          <w:sz w:val="32"/>
          <w:szCs w:val="32"/>
          <w:highlight w:val="none"/>
          <w:lang w:val="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highlight w:val="none"/>
              </w:rPr>
            </w:pPr>
            <w:r>
              <w:rPr>
                <w:rFonts w:hint="eastAsia" w:ascii="宋体" w:hAnsi="宋体" w:cs="宋体"/>
                <w:b/>
                <w:bCs/>
                <w:sz w:val="32"/>
                <w:szCs w:val="32"/>
                <w:highlight w:val="none"/>
                <w:lang w:eastAsia="zh-CN"/>
              </w:rPr>
              <w:t>取消政府还贷二级公路收费用于交通建设</w:t>
            </w:r>
            <w:r>
              <w:rPr>
                <w:rFonts w:hint="eastAsia"/>
                <w:b/>
                <w:bCs/>
                <w:sz w:val="32"/>
                <w:szCs w:val="32"/>
                <w:highlight w:val="none"/>
              </w:rPr>
              <w:t>项目绩效目标自评</w:t>
            </w:r>
          </w:p>
          <w:p>
            <w:pPr>
              <w:pStyle w:val="8"/>
              <w:jc w:val="center"/>
              <w:rPr>
                <w:rFonts w:hint="eastAsia" w:eastAsia="宋体"/>
                <w:highlight w:val="none"/>
                <w:lang w:eastAsia="zh-CN"/>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83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284.8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w:t>
            </w:r>
          </w:p>
        </w:tc>
      </w:tr>
      <w:tr>
        <w:tblPrEx>
          <w:tblCellMar>
            <w:top w:w="0" w:type="dxa"/>
            <w:left w:w="108" w:type="dxa"/>
            <w:bottom w:w="0" w:type="dxa"/>
            <w:right w:w="108" w:type="dxa"/>
          </w:tblCellMar>
        </w:tblPrEx>
        <w:trPr>
          <w:gridAfter w:val="1"/>
          <w:wAfter w:w="236" w:type="dxa"/>
          <w:trHeight w:val="91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284.8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284.8</w:t>
            </w:r>
          </w:p>
        </w:tc>
      </w:tr>
      <w:tr>
        <w:tblPrEx>
          <w:tblCellMar>
            <w:top w:w="0" w:type="dxa"/>
            <w:left w:w="108" w:type="dxa"/>
            <w:bottom w:w="0" w:type="dxa"/>
            <w:right w:w="108" w:type="dxa"/>
          </w:tblCellMar>
        </w:tblPrEx>
        <w:trPr>
          <w:gridAfter w:val="1"/>
          <w:wAfter w:w="236" w:type="dxa"/>
          <w:trHeight w:val="75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扩宽天池至禄市道路</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已完成天池至禄市道路扩宽0.9公里</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0.9公里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0.9公里</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2.单位绩效评价结果。</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本单位按要求对2021年单位整体支出绩效评价情况开展自评，《2021年华蓥市交通运输局单位整体支出绩效评价报告》见附件（附件1）。</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本单位自行组织对新能源汽车用电专项补贴项目、“8.11”洪灾交通应急项目、2020年“四好农村路”以奖代补资金、养护和应急保通中心养护管理站建设项目、</w:t>
      </w:r>
      <w:r>
        <w:rPr>
          <w:rFonts w:hint="eastAsia" w:ascii="仿宋_GB2312" w:hAnsi="宋体" w:eastAsia="仿宋_GB2312" w:cs="Times New Roman"/>
          <w:sz w:val="32"/>
          <w:szCs w:val="32"/>
          <w:lang w:val="zh-CN"/>
        </w:rPr>
        <w:t>2020年“四好农村路”示范县专项补助、农村客运成品油价格补助资金专项补助、车辆购置税收入补助普通省道和农村公路项目、成品油税费改革用于G350预防性养护和中修、成品油税费改革用于农村公路养护、取消政府还贷二级公路收费用于交通建设项目</w:t>
      </w:r>
      <w:r>
        <w:rPr>
          <w:rFonts w:hint="eastAsia" w:ascii="仿宋_GB2312" w:hAnsi="宋体" w:eastAsia="仿宋_GB2312"/>
          <w:sz w:val="32"/>
          <w:szCs w:val="32"/>
          <w:lang w:val="zh-CN"/>
        </w:rPr>
        <w:t>开展了绩效评价，《新能源汽车用电专项补贴项目2021年绩效评价报告》、《“8.11”洪灾交通应急项目2021年绩效评价报告》、《2020年“四好农村路”以奖代补资金项目2021年绩效评价报告》、《养护和应急保通中心养护管理站建设项目2021年绩效评价报告》、《</w:t>
      </w:r>
      <w:r>
        <w:rPr>
          <w:rFonts w:hint="eastAsia" w:ascii="仿宋_GB2312" w:hAnsi="宋体" w:eastAsia="仿宋_GB2312" w:cs="Times New Roman"/>
          <w:sz w:val="32"/>
          <w:szCs w:val="32"/>
          <w:lang w:val="zh-CN"/>
        </w:rPr>
        <w:t>2020年“四好农村路”示范县专项补助</w:t>
      </w:r>
      <w:r>
        <w:rPr>
          <w:rFonts w:hint="eastAsia" w:ascii="仿宋_GB2312" w:hAnsi="宋体" w:eastAsia="仿宋_GB2312"/>
          <w:sz w:val="32"/>
          <w:szCs w:val="32"/>
          <w:lang w:val="zh-CN"/>
        </w:rPr>
        <w:t>项目2021年绩效评价报告》、《</w:t>
      </w:r>
      <w:r>
        <w:rPr>
          <w:rFonts w:hint="eastAsia" w:ascii="仿宋_GB2312" w:hAnsi="宋体" w:eastAsia="仿宋_GB2312" w:cs="Times New Roman"/>
          <w:sz w:val="32"/>
          <w:szCs w:val="32"/>
          <w:lang w:val="zh-CN"/>
        </w:rPr>
        <w:t>农村客运成品油价格补助资金专项补助</w:t>
      </w:r>
      <w:r>
        <w:rPr>
          <w:rFonts w:hint="eastAsia" w:ascii="仿宋_GB2312" w:hAnsi="宋体" w:eastAsia="仿宋_GB2312"/>
          <w:sz w:val="32"/>
          <w:szCs w:val="32"/>
          <w:lang w:val="zh-CN"/>
        </w:rPr>
        <w:t>项目2021年绩效评价报告》、《</w:t>
      </w:r>
      <w:r>
        <w:rPr>
          <w:rFonts w:hint="eastAsia" w:ascii="仿宋_GB2312" w:hAnsi="宋体" w:eastAsia="仿宋_GB2312" w:cs="Times New Roman"/>
          <w:sz w:val="32"/>
          <w:szCs w:val="32"/>
          <w:lang w:val="zh-CN"/>
        </w:rPr>
        <w:t>车辆购置税收入补助普通省道和农村公路项目</w:t>
      </w:r>
      <w:r>
        <w:rPr>
          <w:rFonts w:hint="eastAsia" w:ascii="仿宋_GB2312" w:hAnsi="宋体" w:eastAsia="仿宋_GB2312"/>
          <w:sz w:val="32"/>
          <w:szCs w:val="32"/>
          <w:lang w:val="zh-CN"/>
        </w:rPr>
        <w:t>2021年绩效评价报告》、《</w:t>
      </w:r>
      <w:r>
        <w:rPr>
          <w:rFonts w:hint="eastAsia" w:ascii="仿宋_GB2312" w:hAnsi="宋体" w:eastAsia="仿宋_GB2312" w:cs="Times New Roman"/>
          <w:sz w:val="32"/>
          <w:szCs w:val="32"/>
          <w:lang w:val="zh-CN"/>
        </w:rPr>
        <w:t>成品油税费改革用于G350预防性养护和中修</w:t>
      </w:r>
      <w:r>
        <w:rPr>
          <w:rFonts w:hint="eastAsia" w:ascii="仿宋_GB2312" w:hAnsi="宋体" w:eastAsia="仿宋_GB2312"/>
          <w:sz w:val="32"/>
          <w:szCs w:val="32"/>
          <w:lang w:val="zh-CN"/>
        </w:rPr>
        <w:t>项目2021年绩效评价报告》、《</w:t>
      </w:r>
      <w:r>
        <w:rPr>
          <w:rFonts w:hint="eastAsia" w:ascii="仿宋_GB2312" w:hAnsi="宋体" w:eastAsia="仿宋_GB2312" w:cs="Times New Roman"/>
          <w:sz w:val="32"/>
          <w:szCs w:val="32"/>
          <w:lang w:val="zh-CN"/>
        </w:rPr>
        <w:t>成品油税费改革用于农村公路养护</w:t>
      </w:r>
      <w:r>
        <w:rPr>
          <w:rFonts w:hint="eastAsia" w:ascii="仿宋_GB2312" w:hAnsi="宋体" w:eastAsia="仿宋_GB2312"/>
          <w:sz w:val="32"/>
          <w:szCs w:val="32"/>
          <w:lang w:val="zh-CN"/>
        </w:rPr>
        <w:t>2021年绩效评价报告》、《</w:t>
      </w:r>
      <w:r>
        <w:rPr>
          <w:rFonts w:hint="eastAsia" w:ascii="仿宋_GB2312" w:hAnsi="宋体" w:eastAsia="仿宋_GB2312" w:cs="Times New Roman"/>
          <w:sz w:val="32"/>
          <w:szCs w:val="32"/>
          <w:lang w:val="zh-CN"/>
        </w:rPr>
        <w:t>取消政府还贷二级公路收费用于交通建设</w:t>
      </w:r>
      <w:r>
        <w:rPr>
          <w:rFonts w:hint="eastAsia" w:ascii="仿宋_GB2312" w:hAnsi="宋体" w:eastAsia="仿宋_GB2312"/>
          <w:sz w:val="32"/>
          <w:szCs w:val="32"/>
          <w:lang w:val="zh-CN"/>
        </w:rPr>
        <w:t>项目2021年绩效评价报告》、见附件（附件2）。</w:t>
      </w:r>
    </w:p>
    <w:p>
      <w:pPr>
        <w:adjustRightInd w:val="0"/>
        <w:snapToGrid w:val="0"/>
        <w:spacing w:line="600" w:lineRule="exact"/>
        <w:ind w:firstLine="640" w:firstLineChars="200"/>
        <w:rPr>
          <w:rFonts w:hint="eastAsia" w:ascii="仿宋_GB2312" w:hAnsi="宋体" w:eastAsia="仿宋_GB2312"/>
          <w:sz w:val="32"/>
          <w:szCs w:val="32"/>
          <w:lang w:val="zh-CN"/>
        </w:rPr>
        <w:sectPr>
          <w:pgSz w:w="11906" w:h="16838"/>
          <w:pgMar w:top="1440" w:right="1800" w:bottom="1440" w:left="1800" w:header="851" w:footer="992" w:gutter="0"/>
          <w:pgNumType w:fmt="decimal"/>
          <w:cols w:space="425" w:num="1"/>
          <w:titlePg/>
          <w:docGrid w:type="lines" w:linePitch="312" w:charSpace="0"/>
        </w:sectPr>
      </w:pPr>
      <w:r>
        <w:rPr>
          <w:rFonts w:hint="eastAsia" w:ascii="仿宋_GB2312" w:hAnsi="宋体" w:eastAsia="仿宋_GB2312"/>
          <w:sz w:val="32"/>
          <w:szCs w:val="32"/>
          <w:lang w:val="zh-CN"/>
        </w:rPr>
        <w:t xml:space="preserve"> 《100万元以上（含）特定目标类部门预算项目绩效目标自评表》（附件3）。</w:t>
      </w:r>
    </w:p>
    <w:p>
      <w:pPr>
        <w:widowControl/>
        <w:jc w:val="left"/>
        <w:rPr>
          <w:rFonts w:ascii="仿宋_GB2312" w:eastAsia="仿宋_GB2312"/>
          <w:b/>
          <w:sz w:val="32"/>
          <w:szCs w:val="32"/>
        </w:rPr>
      </w:pPr>
    </w:p>
    <w:p>
      <w:pPr>
        <w:numPr>
          <w:ilvl w:val="0"/>
          <w:numId w:val="3"/>
        </w:numPr>
        <w:spacing w:line="600" w:lineRule="exact"/>
        <w:ind w:firstLine="660" w:firstLineChars="150"/>
        <w:jc w:val="center"/>
        <w:outlineLvl w:val="0"/>
        <w:rPr>
          <w:rStyle w:val="25"/>
          <w:rFonts w:ascii="黑体" w:hAnsi="黑体" w:eastAsia="黑体"/>
          <w:b w:val="0"/>
        </w:rPr>
      </w:pPr>
      <w:bookmarkStart w:id="65" w:name="_Toc15396613"/>
      <w:bookmarkStart w:id="66" w:name="_Toc2620"/>
      <w:bookmarkStart w:id="67" w:name="_Toc15377225"/>
      <w:r>
        <w:rPr>
          <w:rFonts w:hint="eastAsia" w:ascii="黑体" w:hAnsi="黑体" w:eastAsia="黑体"/>
          <w:sz w:val="44"/>
          <w:szCs w:val="44"/>
        </w:rPr>
        <w:t>名</w:t>
      </w:r>
      <w:r>
        <w:rPr>
          <w:rStyle w:val="25"/>
          <w:rFonts w:hint="eastAsia" w:ascii="黑体" w:hAnsi="黑体" w:eastAsia="黑体"/>
          <w:b w:val="0"/>
        </w:rPr>
        <w:t>词解释</w:t>
      </w:r>
      <w:bookmarkEnd w:id="65"/>
      <w:bookmarkEnd w:id="66"/>
      <w:bookmarkEnd w:id="67"/>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left="638" w:leftChars="304" w:firstLine="0" w:firstLineChars="0"/>
        <w:rPr>
          <w:rFonts w:hint="eastAsia" w:ascii="仿宋_GB2312" w:eastAsia="仿宋_GB2312"/>
          <w:color w:val="auto"/>
          <w:sz w:val="32"/>
          <w:szCs w:val="32"/>
          <w:lang w:eastAsia="zh-CN"/>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w:t>
      </w:r>
      <w:r>
        <w:rPr>
          <w:rFonts w:hint="eastAsia" w:ascii="仿宋_GB2312" w:eastAsia="仿宋_GB2312"/>
          <w:color w:val="auto"/>
          <w:sz w:val="32"/>
          <w:szCs w:val="32"/>
          <w:lang w:eastAsia="zh-CN"/>
        </w:rPr>
        <w:t>收</w:t>
      </w:r>
    </w:p>
    <w:p>
      <w:pPr>
        <w:pStyle w:val="23"/>
        <w:spacing w:line="560" w:lineRule="exact"/>
        <w:rPr>
          <w:rFonts w:hint="eastAsia" w:ascii="仿宋_GB2312" w:eastAsia="仿宋_GB2312"/>
          <w:color w:val="auto"/>
          <w:sz w:val="32"/>
          <w:szCs w:val="32"/>
        </w:rPr>
      </w:pPr>
      <w:r>
        <w:rPr>
          <w:rFonts w:hint="eastAsia" w:ascii="仿宋_GB2312" w:eastAsia="仿宋_GB2312"/>
          <w:color w:val="auto"/>
          <w:sz w:val="32"/>
          <w:szCs w:val="32"/>
        </w:rPr>
        <w:t>入。</w:t>
      </w:r>
    </w:p>
    <w:p>
      <w:pPr>
        <w:pStyle w:val="23"/>
        <w:spacing w:line="560" w:lineRule="exact"/>
        <w:ind w:left="638" w:leftChars="304" w:firstLine="0" w:firstLineChars="0"/>
        <w:rPr>
          <w:rFonts w:hint="eastAsia"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w:t>
      </w:r>
    </w:p>
    <w:p>
      <w:pPr>
        <w:pStyle w:val="23"/>
        <w:spacing w:line="560" w:lineRule="exact"/>
        <w:rPr>
          <w:rFonts w:ascii="仿宋_GB2312" w:eastAsia="仿宋_GB2312"/>
          <w:color w:val="auto"/>
          <w:sz w:val="32"/>
          <w:szCs w:val="32"/>
        </w:rPr>
      </w:pPr>
      <w:r>
        <w:rPr>
          <w:rFonts w:hint="eastAsia" w:ascii="仿宋_GB2312" w:eastAsia="仿宋_GB2312"/>
          <w:color w:val="auto"/>
          <w:sz w:val="32"/>
          <w:szCs w:val="32"/>
        </w:rPr>
        <w:t>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9.交通运输（类）公路水路运输（款）行政运行（项）:指交通运输局机关用于保障机构正常运行、开展日常工作的基本支出。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10.交通运输（类）公路水路运输（款）公路建设（项）:指新建公路支出，公路改建支出，特大型桥梁建设支出，公路客货运站（场）建设支出。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11.交通运输（类）公路水路运输（款）公路养护（项）:指用于公路养护方面的支出。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.交通运输（类）公路水路运输（款）海事管理（项）:指海事管理方面的支出。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.交通运输（类）公路水路运输（款）取消政府还贷二级公路收费专项支出（项）:用于各地逐年有序解决已经取消的政府还贷二级收费公路债务偿还、人员安置、养护管理和公路建设等方面的支出。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交通运输（类）公路水路运输（款）其他公路水路运输支出（项）:指交通运输局机关事业人员的基本工资、津贴补贴等人员经费以及办公费、印刷费、水电费、差旅费、维修（护）费等日常公用经费及其他交通运输涉及的项目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.交通运输（类）成品油价格改革对交通运输的补贴（款）对城市公交的补贴（项）:指对城市公共交通运营企业的补贴支出。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.交通运输（类）成品油价格改革对交通运输的补贴（款）对农村道路客运的补贴（项）:指对农村道路客运企业的补贴支出。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.交通运输（类）成品油价格改革对交通运输的补贴（款）成品油价格改革补贴其他支出（项）:指对水路客运的补贴支出。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.交通运输（类）车辆购置税支出（款）车辆购置税用于公路等基础设施建设支出（项）:指车辆购置税收入安排用于公路等基础设施建设的支出。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.交通运输（类）其他交通运输支出（款）公共交通运营补助（项）:指对公共交通运</w:t>
      </w:r>
      <w:r>
        <w:rPr>
          <w:rFonts w:hint="eastAsia" w:ascii="仿宋_GB2312" w:eastAsia="仿宋_GB2312"/>
          <w:color w:val="auto"/>
          <w:sz w:val="32"/>
          <w:szCs w:val="32"/>
          <w:lang w:eastAsia="zh-CN"/>
        </w:rPr>
        <w:t>输</w:t>
      </w:r>
      <w:r>
        <w:rPr>
          <w:rFonts w:hint="eastAsia" w:ascii="仿宋_GB2312" w:eastAsia="仿宋_GB2312"/>
          <w:color w:val="auto"/>
          <w:sz w:val="32"/>
          <w:szCs w:val="32"/>
        </w:rPr>
        <w:t>企业的补</w:t>
      </w:r>
      <w:r>
        <w:rPr>
          <w:rFonts w:hint="eastAsia" w:ascii="仿宋_GB2312" w:eastAsia="仿宋_GB2312"/>
          <w:color w:val="auto"/>
          <w:sz w:val="32"/>
          <w:szCs w:val="32"/>
          <w:lang w:eastAsia="zh-CN"/>
        </w:rPr>
        <w:t>助</w:t>
      </w:r>
      <w:r>
        <w:rPr>
          <w:rFonts w:hint="eastAsia" w:ascii="仿宋_GB2312" w:eastAsia="仿宋_GB2312"/>
          <w:color w:val="auto"/>
          <w:sz w:val="32"/>
          <w:szCs w:val="32"/>
        </w:rPr>
        <w:t>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.交通运输（类）其他交通运输支出（款）其他交通运输支出（项）:指其他交通运输支出中除对公共交通运营补助以外的其他支出。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.社会保障和就业（类）行政事业单位养老支出（款）行政单位离退休（项）:指交通局机关及参公管理事业单位离退休人员的支出。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.社会保障和就业（类）行政事业单位养老支出（款）机关事业单位基本养老保险缴费支出（项）:指</w:t>
      </w:r>
      <w:r>
        <w:rPr>
          <w:rFonts w:hint="eastAsia" w:ascii="仿宋_GB2312" w:eastAsia="仿宋_GB2312"/>
          <w:color w:val="auto"/>
          <w:sz w:val="32"/>
          <w:szCs w:val="32"/>
          <w:lang w:eastAsia="zh-CN"/>
        </w:rPr>
        <w:t>单位</w:t>
      </w:r>
      <w:r>
        <w:rPr>
          <w:rFonts w:hint="eastAsia" w:ascii="仿宋_GB2312" w:eastAsia="仿宋_GB2312"/>
          <w:color w:val="auto"/>
          <w:sz w:val="32"/>
          <w:szCs w:val="32"/>
        </w:rPr>
        <w:t>实施养老保险制度由单位缴纳的养老保险费的支出。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.卫生健康（类）行政事业单位医疗（款）行政单位医疗（项）:指交通运输局机关及参公管理事业单位用于缴纳单位基本医疗保险支出。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.卫生健康（类）行政事业单位医疗（款）事业单位医疗（项）:指交通运输局机关事业人员基本医疗保险缴费支出。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.农林水（类）扶贫（款）其他扶贫支出（项）:指用于农村贫困地区其他扶贫支出。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26</w:t>
      </w:r>
      <w:r>
        <w:rPr>
          <w:rFonts w:hint="eastAsia" w:ascii="仿宋_GB2312" w:eastAsia="仿宋_GB2312"/>
          <w:color w:val="auto"/>
          <w:sz w:val="32"/>
          <w:szCs w:val="32"/>
        </w:rPr>
        <w:t>.住房保障（类）住房改革支出（款）住房公积金（项）: 指按照《住房公积金管理条例》的规定，由单位为其在职职工缴存的长期住房储金。</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27</w:t>
      </w:r>
      <w:r>
        <w:rPr>
          <w:rFonts w:hint="eastAsia" w:ascii="仿宋_GB2312" w:eastAsia="仿宋_GB2312"/>
          <w:color w:val="auto"/>
          <w:sz w:val="32"/>
          <w:szCs w:val="32"/>
        </w:rPr>
        <w:t>.城乡社区支出（类）国有土地使用权出让收入安排的支出（款）土地出让业务支出（项）:指</w:t>
      </w:r>
      <w:r>
        <w:rPr>
          <w:rFonts w:hint="eastAsia" w:ascii="仿宋_GB2312" w:eastAsia="仿宋_GB2312"/>
          <w:color w:val="auto"/>
          <w:sz w:val="32"/>
          <w:szCs w:val="32"/>
          <w:lang w:eastAsia="zh-CN"/>
        </w:rPr>
        <w:t>用于</w:t>
      </w:r>
      <w:r>
        <w:rPr>
          <w:rFonts w:hint="eastAsia" w:ascii="仿宋_GB2312" w:eastAsia="仿宋_GB2312"/>
          <w:color w:val="auto"/>
          <w:sz w:val="32"/>
          <w:szCs w:val="32"/>
          <w:lang w:val="en-US" w:eastAsia="zh-CN"/>
        </w:rPr>
        <w:t>2021年度</w:t>
      </w:r>
      <w:r>
        <w:rPr>
          <w:rFonts w:hint="eastAsia" w:ascii="仿宋_GB2312" w:eastAsia="仿宋_GB2312"/>
          <w:color w:val="auto"/>
          <w:sz w:val="32"/>
          <w:szCs w:val="32"/>
        </w:rPr>
        <w:t>交通民生工程支出。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28</w:t>
      </w:r>
      <w:r>
        <w:rPr>
          <w:rFonts w:hint="eastAsia" w:ascii="仿宋_GB2312" w:eastAsia="仿宋_GB2312"/>
          <w:color w:val="auto"/>
          <w:sz w:val="32"/>
          <w:szCs w:val="32"/>
        </w:rPr>
        <w:t>.基本支出：指为保障机构正常运转、完成日常工作任务而发生的人员支出和公用支出。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29</w:t>
      </w:r>
      <w:r>
        <w:rPr>
          <w:rFonts w:hint="eastAsia" w:ascii="仿宋_GB2312" w:eastAsia="仿宋_GB2312"/>
          <w:color w:val="auto"/>
          <w:sz w:val="32"/>
          <w:szCs w:val="32"/>
        </w:rPr>
        <w:t xml:space="preserve">.项目支出：指在基本支出之外为完成特定行政任务和事业发展目标所发生的支出。 </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2.财政应返还额度：为行政事业单位会计核算科目，用于核算实行国库集中支付的行政事业单位应收财政返还的资金额度。</w:t>
      </w:r>
    </w:p>
    <w:p>
      <w:pPr>
        <w:spacing w:line="600" w:lineRule="exact"/>
        <w:jc w:val="center"/>
        <w:outlineLvl w:val="0"/>
        <w:rPr>
          <w:rStyle w:val="25"/>
          <w:rFonts w:hint="eastAsia" w:ascii="黑体" w:hAnsi="黑体" w:eastAsia="黑体"/>
          <w:b w:val="0"/>
        </w:rPr>
      </w:pPr>
      <w:bookmarkStart w:id="68" w:name="_Toc15377226"/>
      <w:r>
        <w:rPr>
          <w:rFonts w:ascii="宋体"/>
          <w:b/>
          <w:sz w:val="44"/>
          <w:szCs w:val="44"/>
        </w:rPr>
        <w:br w:type="page"/>
      </w:r>
      <w:bookmarkStart w:id="69" w:name="_Toc15396614"/>
      <w:bookmarkStart w:id="70" w:name="_Toc29626"/>
      <w:r>
        <w:rPr>
          <w:rFonts w:hint="eastAsia" w:ascii="黑体" w:hAnsi="黑体" w:eastAsia="黑体"/>
          <w:sz w:val="44"/>
          <w:szCs w:val="44"/>
        </w:rPr>
        <w:t>第</w:t>
      </w:r>
      <w:r>
        <w:rPr>
          <w:rStyle w:val="25"/>
          <w:rFonts w:hint="eastAsia" w:ascii="黑体" w:hAnsi="黑体" w:eastAsia="黑体"/>
          <w:b w:val="0"/>
        </w:rPr>
        <w:t>四部分 附件</w:t>
      </w:r>
      <w:bookmarkEnd w:id="69"/>
      <w:bookmarkEnd w:id="70"/>
    </w:p>
    <w:p>
      <w:pPr>
        <w:pStyle w:val="24"/>
        <w:numPr>
          <w:ilvl w:val="0"/>
          <w:numId w:val="0"/>
        </w:numPr>
        <w:spacing w:line="600" w:lineRule="exact"/>
        <w:ind w:left="640" w:leftChars="0"/>
        <w:outlineLvl w:val="1"/>
        <w:rPr>
          <w:rFonts w:hint="eastAsia" w:ascii="黑体" w:hAnsi="黑体" w:eastAsia="黑体" w:cs="Times New Roman"/>
          <w:sz w:val="32"/>
          <w:szCs w:val="32"/>
          <w:lang w:val="en-US" w:eastAsia="zh-CN"/>
        </w:rPr>
      </w:pPr>
      <w:bookmarkStart w:id="71" w:name="_Toc723"/>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bookmarkEnd w:id="71"/>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华蓥市交通运输局单位</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w:t>
      </w:r>
      <w:r>
        <w:rPr>
          <w:rFonts w:hint="eastAsia" w:ascii="方正小标宋简体" w:hAnsi="宋体" w:eastAsia="方正小标宋简体"/>
          <w:kern w:val="0"/>
          <w:sz w:val="40"/>
          <w:szCs w:val="44"/>
          <w:lang w:eastAsia="zh-CN"/>
        </w:rPr>
        <w:t>支出</w:t>
      </w:r>
      <w:r>
        <w:rPr>
          <w:rFonts w:hint="eastAsia" w:ascii="方正小标宋简体" w:hAnsi="宋体" w:eastAsia="方正小标宋简体"/>
          <w:kern w:val="0"/>
          <w:sz w:val="40"/>
          <w:szCs w:val="44"/>
        </w:rPr>
        <w:t>绩效评价报告</w:t>
      </w:r>
    </w:p>
    <w:p>
      <w:pPr>
        <w:widowControl/>
        <w:adjustRightInd w:val="0"/>
        <w:snapToGrid w:val="0"/>
        <w:spacing w:line="572" w:lineRule="exact"/>
        <w:ind w:firstLine="640" w:firstLineChars="200"/>
        <w:contextualSpacing/>
        <w:jc w:val="left"/>
        <w:outlineLvl w:val="9"/>
        <w:rPr>
          <w:rFonts w:ascii="黑体" w:hAnsi="宋体" w:eastAsia="黑体" w:cs="宋体"/>
          <w:kern w:val="0"/>
          <w:sz w:val="32"/>
          <w:szCs w:val="32"/>
          <w:shd w:val="clear" w:color="auto" w:fill="FFFFFF"/>
          <w:lang w:val="zh-CN"/>
        </w:rPr>
      </w:pPr>
      <w:bookmarkStart w:id="72" w:name="_Toc29623"/>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bookmarkEnd w:id="72"/>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Times New Roman" w:hAnsi="Times New Roman" w:eastAsia="仿宋_GB2312"/>
          <w:sz w:val="32"/>
          <w:szCs w:val="32"/>
          <w:highlight w:val="none"/>
        </w:rPr>
        <w:t>交通</w:t>
      </w:r>
      <w:r>
        <w:rPr>
          <w:rFonts w:hint="eastAsia" w:ascii="Times New Roman" w:hAnsi="Times New Roman" w:eastAsia="仿宋_GB2312"/>
          <w:sz w:val="32"/>
          <w:szCs w:val="32"/>
          <w:highlight w:val="none"/>
          <w:lang w:eastAsia="zh-CN"/>
        </w:rPr>
        <w:t>运输</w:t>
      </w:r>
      <w:r>
        <w:rPr>
          <w:rFonts w:hint="eastAsia" w:ascii="Times New Roman" w:hAnsi="Times New Roman" w:eastAsia="仿宋_GB2312"/>
          <w:sz w:val="32"/>
          <w:szCs w:val="32"/>
          <w:highlight w:val="none"/>
        </w:rPr>
        <w:t>局机关设有7个内设机构和机关党委。主要包括：办公室（信访股）、财务审计股、规划建设股、政策法规股（行政审批股）、运输股（安全监督股、应急办公室）、工程质监股和华蓥市交通战备办公室（华蓥市保护通信线路安全办公室）</w:t>
      </w:r>
      <w:r>
        <w:rPr>
          <w:rFonts w:hint="eastAsia" w:ascii="Times New Roman" w:hAnsi="Times New Roman" w:eastAsia="仿宋_GB2312"/>
          <w:sz w:val="32"/>
          <w:szCs w:val="32"/>
          <w:highlight w:val="none"/>
          <w:lang w:eastAsia="zh-CN"/>
        </w:rPr>
        <w:t>、机关党委</w:t>
      </w:r>
      <w:r>
        <w:rPr>
          <w:rFonts w:hint="eastAsia" w:ascii="Times New Roman" w:hAnsi="Times New Roman" w:eastAsia="仿宋_GB2312"/>
          <w:sz w:val="32"/>
          <w:szCs w:val="32"/>
          <w:highlight w:val="none"/>
        </w:rPr>
        <w:t>。</w:t>
      </w:r>
    </w:p>
    <w:p>
      <w:pPr>
        <w:widowControl/>
        <w:numPr>
          <w:ilvl w:val="0"/>
          <w:numId w:val="4"/>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贯彻执行国家、省、广安市及华蓥市有关交通运输行业的方针、政策和法律、法规。组织拟订并监督实施公路、水路等行业规划、政策和标准,会同有关部门组织编制综合运输体系规划,参与拟订物流业发展战略和规划。</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2.拟订全市交通运输规范性文件草案,负责本系统、本部门依法行政工作,落实行政执法责任制。负责公路、水路行业有关体制改革工作,承担全市收费公路和重点公路管理的有关工作。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3.承担道路、水路交通运输市场监管责任,贯彻落实道路、水路运输有关政策、技术标准。负责城乡客运管理工作。指导出租汽车行业管理工作。会同有关部门制定运输价格。</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承担水上交通安全监管责任。按规定负责水上交通管制、运输船舶、渔船及相关水上设施检验、登记和防止污染、救助打捞、通讯导航、危险品运输的监督管理工作,负责船员管理相关工作。负责水上交通安全事故、船舶及相关水上设施污染事故的应急处置,依法组织或参与事故调查处理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负责提出公路、水路固定资产投资规模和方向、市财政性资金安排建议,按照规定权限审批、核准省、市规划内和年度计划规模内固定资产投资项目。会同有关部门拟订公路、水路有关规费政策并监督实施,提出有关财政、土地、价格等政策建议。指导交通运输行业审计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承担公路、水路建设市场监管责任。拟订公路、水路工程建设相关政策、制度、技术标准并监督实施,组织协调公路、水路有关重点工程建设和工程质量、安全生产监督管理工作。负责对交通行业和产业项目的招标投标活动的监督执法。负责交通运输基础设施管理和维护,承担有关重要设施的管理和维护。按规定负责港口规划和港口岸线使用管理工作,负责交通运输行业特许经营管理,会同有关部门组织实施交通运输行业职业资格管理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7.负责公路、水路行业安全生产和应急管理工作。按规定组织协调国家及省重点物资和紧急客货运输,负责全市重点公路及重点干线路网运行监测和协调。组织协调地方交通战备工作,承担国防动员有关工作。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8.制定交通运输科技政策并监督实施,组织重大科技开发。负责全市交通运输信息化建设,监测分析运行情况,开展相关统计工作,发布有关信息。负责公路、水路行业环境保护和节能减排工作。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9.负责公路、水路有关涉外工作,开展对外经济技术交流与合作,承担全市交通运输行业招商引资和利用外资工作。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10.承担市政府公布的有关行政审批事项。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11.完成市委和市政府交办的其他任务。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12.职能转变。将市农业农村局的渔船检验和监督管理职责划入市交通运输局,市农业农村局不再承担。</w:t>
      </w:r>
    </w:p>
    <w:p>
      <w:pPr>
        <w:pStyle w:val="8"/>
        <w:numPr>
          <w:ilvl w:val="0"/>
          <w:numId w:val="0"/>
        </w:numPr>
        <w:rPr>
          <w:lang w:val="zh-CN"/>
        </w:rPr>
      </w:pPr>
    </w:p>
    <w:p>
      <w:pPr>
        <w:widowControl/>
        <w:numPr>
          <w:ilvl w:val="0"/>
          <w:numId w:val="4"/>
        </w:numPr>
        <w:adjustRightInd w:val="0"/>
        <w:snapToGrid w:val="0"/>
        <w:spacing w:line="572"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根据编办文件，华蓥市交通运输局本级编制情况：截至202</w:t>
      </w:r>
      <w:r>
        <w:rPr>
          <w:rFonts w:hint="eastAsia" w:ascii="仿宋_GB2312" w:hAnsi="宋体" w:eastAsia="仿宋_GB2312" w:cs="宋体"/>
          <w:color w:val="000000"/>
          <w:kern w:val="0"/>
          <w:sz w:val="32"/>
          <w:szCs w:val="32"/>
          <w:highlight w:val="none"/>
          <w:shd w:val="clear" w:color="auto" w:fill="FFFFFF"/>
          <w:lang w:val="en-US" w:eastAsia="zh-CN"/>
        </w:rPr>
        <w:t>1</w:t>
      </w:r>
      <w:r>
        <w:rPr>
          <w:rFonts w:hint="eastAsia" w:ascii="仿宋_GB2312" w:hAnsi="宋体" w:eastAsia="仿宋_GB2312" w:cs="宋体"/>
          <w:color w:val="000000"/>
          <w:kern w:val="0"/>
          <w:sz w:val="32"/>
          <w:szCs w:val="32"/>
          <w:highlight w:val="none"/>
          <w:shd w:val="clear" w:color="auto" w:fill="FFFFFF"/>
          <w:lang w:val="zh-CN"/>
        </w:rPr>
        <w:t>年12月31日，交通局本级系统共有编制人数</w:t>
      </w:r>
      <w:r>
        <w:rPr>
          <w:rFonts w:hint="eastAsia" w:ascii="仿宋_GB2312" w:hAnsi="宋体" w:eastAsia="仿宋_GB2312" w:cs="宋体"/>
          <w:color w:val="000000"/>
          <w:kern w:val="0"/>
          <w:sz w:val="32"/>
          <w:szCs w:val="32"/>
          <w:highlight w:val="none"/>
          <w:shd w:val="clear" w:color="auto" w:fill="FFFFFF"/>
          <w:lang w:val="en-US" w:eastAsia="zh-CN"/>
        </w:rPr>
        <w:t>57</w:t>
      </w:r>
      <w:r>
        <w:rPr>
          <w:rFonts w:hint="eastAsia" w:ascii="仿宋_GB2312" w:hAnsi="宋体" w:eastAsia="仿宋_GB2312" w:cs="宋体"/>
          <w:color w:val="000000"/>
          <w:kern w:val="0"/>
          <w:sz w:val="32"/>
          <w:szCs w:val="32"/>
          <w:highlight w:val="none"/>
          <w:shd w:val="clear" w:color="auto" w:fill="FFFFFF"/>
          <w:lang w:val="zh-CN"/>
        </w:rPr>
        <w:t>人，其中：行政编制人数</w:t>
      </w:r>
      <w:r>
        <w:rPr>
          <w:rFonts w:hint="eastAsia" w:ascii="仿宋_GB2312" w:hAnsi="宋体" w:eastAsia="仿宋_GB2312" w:cs="宋体"/>
          <w:color w:val="000000"/>
          <w:kern w:val="0"/>
          <w:sz w:val="32"/>
          <w:szCs w:val="32"/>
          <w:highlight w:val="none"/>
          <w:shd w:val="clear" w:color="auto" w:fill="FFFFFF"/>
          <w:lang w:val="en-US" w:eastAsia="zh-CN"/>
        </w:rPr>
        <w:t>12</w:t>
      </w:r>
      <w:r>
        <w:rPr>
          <w:rFonts w:hint="eastAsia" w:ascii="仿宋_GB2312" w:hAnsi="宋体" w:eastAsia="仿宋_GB2312" w:cs="宋体"/>
          <w:color w:val="000000"/>
          <w:kern w:val="0"/>
          <w:sz w:val="32"/>
          <w:szCs w:val="32"/>
          <w:highlight w:val="none"/>
          <w:shd w:val="clear" w:color="auto" w:fill="FFFFFF"/>
          <w:lang w:val="zh-CN"/>
        </w:rPr>
        <w:t>人，行政工勤编制人数</w:t>
      </w:r>
      <w:r>
        <w:rPr>
          <w:rFonts w:hint="eastAsia" w:ascii="仿宋_GB2312" w:hAnsi="宋体" w:eastAsia="仿宋_GB2312" w:cs="宋体"/>
          <w:color w:val="000000"/>
          <w:kern w:val="0"/>
          <w:sz w:val="32"/>
          <w:szCs w:val="32"/>
          <w:highlight w:val="none"/>
          <w:shd w:val="clear" w:color="auto" w:fill="FFFFFF"/>
          <w:lang w:val="en-US" w:eastAsia="zh-CN"/>
        </w:rPr>
        <w:t>2</w:t>
      </w:r>
      <w:r>
        <w:rPr>
          <w:rFonts w:hint="eastAsia" w:ascii="仿宋_GB2312" w:hAnsi="宋体" w:eastAsia="仿宋_GB2312" w:cs="宋体"/>
          <w:color w:val="000000"/>
          <w:kern w:val="0"/>
          <w:sz w:val="32"/>
          <w:szCs w:val="32"/>
          <w:highlight w:val="none"/>
          <w:shd w:val="clear" w:color="auto" w:fill="FFFFFF"/>
          <w:lang w:val="zh-CN"/>
        </w:rPr>
        <w:t>人，事业编制人数</w:t>
      </w:r>
      <w:r>
        <w:rPr>
          <w:rFonts w:hint="eastAsia" w:ascii="仿宋_GB2312" w:hAnsi="宋体" w:eastAsia="仿宋_GB2312" w:cs="宋体"/>
          <w:color w:val="000000"/>
          <w:kern w:val="0"/>
          <w:sz w:val="32"/>
          <w:szCs w:val="32"/>
          <w:highlight w:val="none"/>
          <w:shd w:val="clear" w:color="auto" w:fill="FFFFFF"/>
          <w:lang w:val="en-US" w:eastAsia="zh-CN"/>
        </w:rPr>
        <w:t>41</w:t>
      </w:r>
      <w:r>
        <w:rPr>
          <w:rFonts w:hint="eastAsia" w:ascii="仿宋_GB2312" w:hAnsi="宋体" w:eastAsia="仿宋_GB2312" w:cs="宋体"/>
          <w:color w:val="000000"/>
          <w:kern w:val="0"/>
          <w:sz w:val="32"/>
          <w:szCs w:val="32"/>
          <w:highlight w:val="none"/>
          <w:shd w:val="clear" w:color="auto" w:fill="FFFFFF"/>
          <w:lang w:val="zh-CN"/>
        </w:rPr>
        <w:t>人，事业工勤编制人数</w:t>
      </w:r>
      <w:r>
        <w:rPr>
          <w:rFonts w:hint="eastAsia" w:ascii="仿宋_GB2312" w:hAnsi="宋体" w:eastAsia="仿宋_GB2312" w:cs="宋体"/>
          <w:color w:val="000000"/>
          <w:kern w:val="0"/>
          <w:sz w:val="32"/>
          <w:szCs w:val="32"/>
          <w:highlight w:val="none"/>
          <w:shd w:val="clear" w:color="auto" w:fill="FFFFFF"/>
          <w:lang w:val="en-US" w:eastAsia="zh-CN"/>
        </w:rPr>
        <w:t>2</w:t>
      </w:r>
      <w:r>
        <w:rPr>
          <w:rFonts w:hint="eastAsia" w:ascii="仿宋_GB2312" w:hAnsi="宋体" w:eastAsia="仿宋_GB2312" w:cs="宋体"/>
          <w:color w:val="000000"/>
          <w:kern w:val="0"/>
          <w:sz w:val="32"/>
          <w:szCs w:val="32"/>
          <w:highlight w:val="none"/>
          <w:shd w:val="clear" w:color="auto" w:fill="FFFFFF"/>
          <w:lang w:val="zh-CN"/>
        </w:rPr>
        <w:t>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截至202</w:t>
      </w:r>
      <w:r>
        <w:rPr>
          <w:rFonts w:hint="eastAsia" w:ascii="仿宋_GB2312" w:hAnsi="宋体" w:eastAsia="仿宋_GB2312" w:cs="宋体"/>
          <w:color w:val="000000"/>
          <w:kern w:val="0"/>
          <w:sz w:val="32"/>
          <w:szCs w:val="32"/>
          <w:highlight w:val="none"/>
          <w:shd w:val="clear" w:color="auto" w:fill="FFFFFF"/>
          <w:lang w:val="en-US" w:eastAsia="zh-CN"/>
        </w:rPr>
        <w:t>1</w:t>
      </w:r>
      <w:r>
        <w:rPr>
          <w:rFonts w:hint="eastAsia" w:ascii="仿宋_GB2312" w:hAnsi="宋体" w:eastAsia="仿宋_GB2312" w:cs="宋体"/>
          <w:color w:val="000000"/>
          <w:kern w:val="0"/>
          <w:sz w:val="32"/>
          <w:szCs w:val="32"/>
          <w:highlight w:val="none"/>
          <w:shd w:val="clear" w:color="auto" w:fill="FFFFFF"/>
          <w:lang w:val="zh-CN"/>
        </w:rPr>
        <w:t>年12月31日，华蓥市交通运输局本级实有人数</w:t>
      </w:r>
      <w:r>
        <w:rPr>
          <w:rFonts w:hint="eastAsia" w:ascii="仿宋_GB2312" w:hAnsi="宋体" w:eastAsia="仿宋_GB2312" w:cs="宋体"/>
          <w:color w:val="000000"/>
          <w:kern w:val="0"/>
          <w:sz w:val="32"/>
          <w:szCs w:val="32"/>
          <w:highlight w:val="none"/>
          <w:shd w:val="clear" w:color="auto" w:fill="FFFFFF"/>
          <w:lang w:val="en-US" w:eastAsia="zh-CN"/>
        </w:rPr>
        <w:t>42</w:t>
      </w:r>
      <w:r>
        <w:rPr>
          <w:rFonts w:hint="eastAsia" w:ascii="仿宋_GB2312" w:hAnsi="宋体" w:eastAsia="仿宋_GB2312" w:cs="宋体"/>
          <w:color w:val="000000"/>
          <w:kern w:val="0"/>
          <w:sz w:val="32"/>
          <w:szCs w:val="32"/>
          <w:highlight w:val="none"/>
          <w:shd w:val="clear" w:color="auto" w:fill="FFFFFF"/>
          <w:lang w:val="zh-CN"/>
        </w:rPr>
        <w:t>人，均为在职人员。其中：行政编制人数</w:t>
      </w:r>
      <w:r>
        <w:rPr>
          <w:rFonts w:hint="eastAsia" w:ascii="仿宋_GB2312" w:hAnsi="宋体" w:eastAsia="仿宋_GB2312" w:cs="宋体"/>
          <w:color w:val="000000"/>
          <w:kern w:val="0"/>
          <w:sz w:val="32"/>
          <w:szCs w:val="32"/>
          <w:highlight w:val="none"/>
          <w:shd w:val="clear" w:color="auto" w:fill="FFFFFF"/>
          <w:lang w:val="en-US" w:eastAsia="zh-CN"/>
        </w:rPr>
        <w:t>12</w:t>
      </w:r>
      <w:r>
        <w:rPr>
          <w:rFonts w:hint="eastAsia" w:ascii="仿宋_GB2312" w:hAnsi="宋体" w:eastAsia="仿宋_GB2312" w:cs="宋体"/>
          <w:color w:val="000000"/>
          <w:kern w:val="0"/>
          <w:sz w:val="32"/>
          <w:szCs w:val="32"/>
          <w:highlight w:val="none"/>
          <w:shd w:val="clear" w:color="auto" w:fill="FFFFFF"/>
          <w:lang w:val="zh-CN"/>
        </w:rPr>
        <w:t>人，行政工勤编制人数2人，事业编制人数</w:t>
      </w:r>
      <w:r>
        <w:rPr>
          <w:rFonts w:hint="eastAsia" w:ascii="仿宋_GB2312" w:hAnsi="宋体" w:eastAsia="仿宋_GB2312" w:cs="宋体"/>
          <w:color w:val="000000"/>
          <w:kern w:val="0"/>
          <w:sz w:val="32"/>
          <w:szCs w:val="32"/>
          <w:highlight w:val="none"/>
          <w:shd w:val="clear" w:color="auto" w:fill="FFFFFF"/>
          <w:lang w:val="en-US" w:eastAsia="zh-CN"/>
        </w:rPr>
        <w:t>26</w:t>
      </w:r>
      <w:r>
        <w:rPr>
          <w:rFonts w:hint="eastAsia" w:ascii="仿宋_GB2312" w:hAnsi="宋体" w:eastAsia="仿宋_GB2312" w:cs="宋体"/>
          <w:color w:val="000000"/>
          <w:kern w:val="0"/>
          <w:sz w:val="32"/>
          <w:szCs w:val="32"/>
          <w:highlight w:val="none"/>
          <w:shd w:val="clear" w:color="auto" w:fill="FFFFFF"/>
          <w:lang w:val="zh-CN"/>
        </w:rPr>
        <w:t>人，事业工勤编制人数</w:t>
      </w:r>
      <w:r>
        <w:rPr>
          <w:rFonts w:hint="eastAsia" w:ascii="仿宋_GB2312" w:hAnsi="宋体" w:eastAsia="仿宋_GB2312" w:cs="宋体"/>
          <w:color w:val="000000"/>
          <w:kern w:val="0"/>
          <w:sz w:val="32"/>
          <w:szCs w:val="32"/>
          <w:highlight w:val="none"/>
          <w:shd w:val="clear" w:color="auto" w:fill="FFFFFF"/>
          <w:lang w:val="en-US" w:eastAsia="zh-CN"/>
        </w:rPr>
        <w:t>2</w:t>
      </w:r>
      <w:r>
        <w:rPr>
          <w:rFonts w:hint="eastAsia" w:ascii="仿宋_GB2312" w:hAnsi="宋体" w:eastAsia="仿宋_GB2312" w:cs="宋体"/>
          <w:color w:val="000000"/>
          <w:kern w:val="0"/>
          <w:sz w:val="32"/>
          <w:szCs w:val="32"/>
          <w:highlight w:val="none"/>
          <w:shd w:val="clear" w:color="auto" w:fill="FFFFFF"/>
          <w:lang w:val="zh-CN"/>
        </w:rPr>
        <w:t>人。</w:t>
      </w:r>
    </w:p>
    <w:p>
      <w:pPr>
        <w:widowControl/>
        <w:adjustRightInd w:val="0"/>
        <w:snapToGrid w:val="0"/>
        <w:spacing w:line="572" w:lineRule="exact"/>
        <w:ind w:firstLine="640" w:firstLineChars="200"/>
        <w:contextualSpacing/>
        <w:jc w:val="left"/>
        <w:outlineLvl w:val="9"/>
        <w:rPr>
          <w:rFonts w:ascii="黑体" w:hAnsi="宋体" w:eastAsia="黑体" w:cs="宋体"/>
          <w:kern w:val="0"/>
          <w:sz w:val="32"/>
          <w:szCs w:val="32"/>
          <w:shd w:val="clear" w:color="auto" w:fill="FFFFFF"/>
        </w:rPr>
      </w:pPr>
      <w:bookmarkStart w:id="73" w:name="_Toc30160"/>
      <w:r>
        <w:rPr>
          <w:rFonts w:hint="eastAsia" w:ascii="黑体" w:hAnsi="宋体" w:eastAsia="黑体" w:cs="宋体"/>
          <w:kern w:val="0"/>
          <w:sz w:val="32"/>
          <w:szCs w:val="32"/>
          <w:shd w:val="clear" w:color="auto" w:fill="FFFFFF"/>
        </w:rPr>
        <w:t>二、部门财政资金收支情况</w:t>
      </w:r>
      <w:bookmarkEnd w:id="73"/>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2021年本年收入合计</w:t>
      </w:r>
      <w:r>
        <w:rPr>
          <w:rFonts w:hint="eastAsia" w:ascii="仿宋" w:hAnsi="仿宋" w:eastAsia="仿宋" w:cs="仿宋"/>
          <w:sz w:val="32"/>
          <w:szCs w:val="32"/>
          <w:lang w:val="en-US" w:eastAsia="zh-CN"/>
        </w:rPr>
        <w:t>2804.77</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2754.77</w:t>
      </w:r>
      <w:r>
        <w:rPr>
          <w:rFonts w:hint="eastAsia" w:ascii="仿宋" w:hAnsi="仿宋" w:eastAsia="仿宋" w:cs="仿宋"/>
          <w:sz w:val="32"/>
          <w:szCs w:val="32"/>
        </w:rPr>
        <w:t>万元，占</w:t>
      </w:r>
      <w:r>
        <w:rPr>
          <w:rFonts w:hint="eastAsia" w:ascii="仿宋" w:hAnsi="仿宋" w:eastAsia="仿宋" w:cs="仿宋"/>
          <w:sz w:val="32"/>
          <w:szCs w:val="32"/>
          <w:lang w:val="en-US" w:eastAsia="zh-CN"/>
        </w:rPr>
        <w:t>98.22</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50</w:t>
      </w:r>
      <w:r>
        <w:rPr>
          <w:rFonts w:hint="eastAsia" w:ascii="仿宋" w:hAnsi="仿宋" w:eastAsia="仿宋" w:cs="仿宋"/>
          <w:sz w:val="32"/>
          <w:szCs w:val="32"/>
        </w:rPr>
        <w:t>万元，占</w:t>
      </w:r>
      <w:r>
        <w:rPr>
          <w:rFonts w:hint="eastAsia" w:ascii="仿宋" w:hAnsi="仿宋" w:eastAsia="仿宋" w:cs="仿宋"/>
          <w:sz w:val="32"/>
          <w:szCs w:val="32"/>
          <w:lang w:val="en-US" w:eastAsia="zh-CN"/>
        </w:rPr>
        <w:t>1.78</w:t>
      </w:r>
      <w:r>
        <w:rPr>
          <w:rFonts w:hint="eastAsia" w:ascii="仿宋" w:hAnsi="仿宋" w:eastAsia="仿宋" w:cs="仿宋"/>
          <w:sz w:val="32"/>
          <w:szCs w:val="32"/>
        </w:rPr>
        <w:t>%。</w:t>
      </w:r>
    </w:p>
    <w:p>
      <w:pPr>
        <w:widowControl/>
        <w:numPr>
          <w:ilvl w:val="0"/>
          <w:numId w:val="5"/>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bidi w:val="0"/>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2021年本年支出合计</w:t>
      </w:r>
      <w:r>
        <w:rPr>
          <w:rFonts w:hint="eastAsia" w:ascii="仿宋" w:hAnsi="仿宋" w:eastAsia="仿宋" w:cs="仿宋"/>
          <w:sz w:val="32"/>
          <w:szCs w:val="32"/>
          <w:lang w:val="en-US" w:eastAsia="zh-CN"/>
        </w:rPr>
        <w:t>4494.09</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基本支出</w:t>
      </w:r>
      <w:r>
        <w:rPr>
          <w:rFonts w:hint="eastAsia" w:ascii="仿宋" w:hAnsi="仿宋" w:eastAsia="仿宋" w:cs="仿宋"/>
          <w:sz w:val="32"/>
          <w:szCs w:val="32"/>
          <w:lang w:val="en-US" w:eastAsia="zh-CN"/>
        </w:rPr>
        <w:t>582.71</w:t>
      </w:r>
      <w:r>
        <w:rPr>
          <w:rFonts w:hint="eastAsia" w:ascii="仿宋" w:hAnsi="仿宋" w:eastAsia="仿宋" w:cs="仿宋"/>
          <w:sz w:val="32"/>
          <w:szCs w:val="32"/>
        </w:rPr>
        <w:t>万元，占</w:t>
      </w:r>
      <w:r>
        <w:rPr>
          <w:rFonts w:hint="eastAsia" w:ascii="仿宋" w:hAnsi="仿宋" w:eastAsia="仿宋" w:cs="仿宋"/>
          <w:sz w:val="32"/>
          <w:szCs w:val="32"/>
          <w:lang w:val="en-US" w:eastAsia="zh-CN"/>
        </w:rPr>
        <w:t>12.97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3911.39</w:t>
      </w:r>
      <w:r>
        <w:rPr>
          <w:rFonts w:hint="eastAsia" w:ascii="仿宋" w:hAnsi="仿宋" w:eastAsia="仿宋" w:cs="仿宋"/>
          <w:sz w:val="32"/>
          <w:szCs w:val="32"/>
        </w:rPr>
        <w:t>万元，占</w:t>
      </w:r>
      <w:r>
        <w:rPr>
          <w:rFonts w:hint="eastAsia" w:ascii="仿宋" w:hAnsi="仿宋" w:eastAsia="仿宋" w:cs="仿宋"/>
          <w:sz w:val="32"/>
          <w:szCs w:val="32"/>
          <w:lang w:val="en-US" w:eastAsia="zh-CN"/>
        </w:rPr>
        <w:t>87.03</w:t>
      </w:r>
      <w:r>
        <w:rPr>
          <w:rFonts w:hint="eastAsia" w:ascii="仿宋" w:hAnsi="仿宋" w:eastAsia="仿宋" w:cs="仿宋"/>
          <w:sz w:val="32"/>
          <w:szCs w:val="32"/>
        </w:rPr>
        <w:t>%。</w:t>
      </w:r>
      <w:r>
        <w:rPr>
          <w:rFonts w:hint="eastAsia" w:ascii="仿宋" w:hAnsi="仿宋" w:eastAsia="仿宋" w:cs="仿宋"/>
          <w:sz w:val="32"/>
          <w:szCs w:val="32"/>
          <w:lang w:val="en-US" w:eastAsia="zh-CN"/>
        </w:rPr>
        <w:t>2021年支出</w:t>
      </w:r>
      <w:r>
        <w:rPr>
          <w:rFonts w:hint="eastAsia" w:ascii="仿宋" w:hAnsi="仿宋" w:eastAsia="仿宋" w:cs="仿宋"/>
          <w:sz w:val="32"/>
          <w:szCs w:val="32"/>
          <w:lang w:eastAsia="zh-CN"/>
        </w:rPr>
        <w:t>中有</w:t>
      </w:r>
      <w:r>
        <w:rPr>
          <w:rFonts w:hint="eastAsia" w:ascii="仿宋" w:hAnsi="仿宋" w:eastAsia="仿宋" w:cs="仿宋"/>
          <w:sz w:val="32"/>
          <w:szCs w:val="32"/>
          <w:lang w:val="en-US" w:eastAsia="zh-CN"/>
        </w:rPr>
        <w:t>1689.32万元为2020年的结转资金。</w:t>
      </w:r>
    </w:p>
    <w:p>
      <w:pPr>
        <w:widowControl/>
        <w:adjustRightInd w:val="0"/>
        <w:snapToGrid w:val="0"/>
        <w:spacing w:line="572" w:lineRule="exact"/>
        <w:ind w:firstLine="640" w:firstLineChars="200"/>
        <w:contextualSpacing/>
        <w:jc w:val="left"/>
        <w:outlineLvl w:val="9"/>
        <w:rPr>
          <w:rFonts w:ascii="黑体" w:hAnsi="宋体" w:eastAsia="黑体" w:cs="宋体"/>
          <w:kern w:val="0"/>
          <w:sz w:val="32"/>
          <w:szCs w:val="32"/>
          <w:shd w:val="clear" w:color="auto" w:fill="FFFFFF"/>
        </w:rPr>
      </w:pPr>
      <w:bookmarkStart w:id="74" w:name="_Toc9446"/>
      <w:r>
        <w:rPr>
          <w:rFonts w:hint="eastAsia" w:ascii="黑体" w:hAnsi="宋体" w:eastAsia="黑体" w:cs="宋体"/>
          <w:kern w:val="0"/>
          <w:sz w:val="32"/>
          <w:szCs w:val="32"/>
          <w:shd w:val="clear" w:color="auto" w:fill="FFFFFF"/>
        </w:rPr>
        <w:t>三、部门整体预算绩效管理情况</w:t>
      </w:r>
      <w:bookmarkEnd w:id="74"/>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1．预算编制情况。</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（1）目标制定。</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华蓥市交通运输局贯彻落实中、省、市及本级财政预算绩效管理政策。转变预算绩效管理理念，将预算绩效理念和方法深度融入到预算编制、执行、监督全过程，改进部门预算绩效目标编制、绩效监控、绩效评价、结果运用等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绩效目标编制紧扣华蓥市交通运输局职能职责，以实现基本职能职责为导向，结合202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年度整体工作计划和目标任务，以预算资金管理为主线，统筹考虑资产和业务活动，从运行成本、管理效率、履职效能、社会效益、可持续发展能力和服务对象满意度方面，设定绩效目标，衡量部门整体和部分专用项目预算执行效果。科学合理设置了部门整体支出绩效目标。专用项目绩效目标编制过程中，由资金使用部门根据项目实施方案、计划，和预期将达到的绩效目标如实填报效果目标，做到了绩效目标符合各自项目特点。绩效目标符合预算绩效目标管理办法。绩效目标编制与相应的资金使用内容、范围、方向紧密相关，指向明确。指标值采用定量表述和定性表述相结合的办法，细化量化。部门编制专用项目绩效目标后，经华蓥市财政局和华蓥市交通运输局共同审核，确保预算金额和绩效目标相匹配。</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评分标准满分4分，根据评分公式计算，评价得分3.</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（2）目标实现。</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华蓥市交通运输局在202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预算执行完毕后开展了绩效目标自评工作，填报了总体目标和各项绩效指标完成情况。本年度项目支出主要包20年“四好农村路”示范县专项补助、20年养护和应急保通中心养护管理站建设、取消政府还贷二级公路收费用于交通建设等</w:t>
      </w:r>
      <w:r>
        <w:rPr>
          <w:rFonts w:hint="eastAsia" w:ascii="仿宋_GB2312" w:hAnsi="宋体" w:eastAsia="仿宋_GB2312" w:cs="宋体"/>
          <w:kern w:val="0"/>
          <w:sz w:val="32"/>
          <w:szCs w:val="32"/>
          <w:shd w:val="clear" w:color="auto" w:fill="FFFFFF"/>
          <w:lang w:val="en-US" w:eastAsia="zh-CN"/>
        </w:rPr>
        <w:t>13个项目</w:t>
      </w:r>
      <w:r>
        <w:rPr>
          <w:rFonts w:hint="eastAsia" w:ascii="仿宋_GB2312" w:hAnsi="宋体" w:eastAsia="仿宋_GB2312" w:cs="宋体"/>
          <w:kern w:val="0"/>
          <w:sz w:val="32"/>
          <w:szCs w:val="32"/>
          <w:shd w:val="clear" w:color="auto" w:fill="FFFFFF"/>
          <w:lang w:val="zh-CN"/>
        </w:rPr>
        <w:t>。从202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 xml:space="preserve">年绩效目标完成情况来看，多数项目实际完成情况较好，少部分项目支付进度完成情况不理想。完成数量指标的自评及实际情况如下： </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一是新能源汽车充电电费补贴项目202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年支付率为</w:t>
      </w:r>
      <w:r>
        <w:rPr>
          <w:rFonts w:hint="eastAsia" w:ascii="仿宋_GB2312" w:hAnsi="宋体" w:eastAsia="仿宋_GB2312" w:cs="宋体"/>
          <w:kern w:val="0"/>
          <w:sz w:val="32"/>
          <w:szCs w:val="32"/>
          <w:shd w:val="clear" w:color="auto" w:fill="FFFFFF"/>
          <w:lang w:val="en-US" w:eastAsia="zh-CN"/>
        </w:rPr>
        <w:t>10</w:t>
      </w:r>
      <w:r>
        <w:rPr>
          <w:rFonts w:hint="eastAsia" w:ascii="仿宋_GB2312" w:hAnsi="宋体" w:eastAsia="仿宋_GB2312" w:cs="宋体"/>
          <w:kern w:val="0"/>
          <w:sz w:val="32"/>
          <w:szCs w:val="32"/>
          <w:shd w:val="clear" w:color="auto" w:fill="FFFFFF"/>
          <w:lang w:val="zh-CN"/>
        </w:rPr>
        <w:t>0%，我局实际补助企业新能源汽车电费1</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lang w:val="zh-CN"/>
        </w:rPr>
        <w:t>0万，弥补了新能源汽车正常充电所产生的费用。</w:t>
      </w:r>
    </w:p>
    <w:p>
      <w:pPr>
        <w:pStyle w:val="8"/>
        <w:keepNext w:val="0"/>
        <w:keepLines w:val="0"/>
        <w:pageBreakBefore w:val="0"/>
        <w:kinsoku/>
        <w:wordWrap/>
        <w:overflowPunct/>
        <w:topLinePunct w:val="0"/>
        <w:autoSpaceDE/>
        <w:autoSpaceDN/>
        <w:bidi w:val="0"/>
        <w:spacing w:line="572" w:lineRule="exact"/>
        <w:ind w:firstLine="640" w:firstLineChars="200"/>
        <w:textAlignment w:val="auto"/>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二是“8.11”洪灾交通应急项目资金完成资金支付234.88万元，对洪灾损毁的公路进行了修复。</w:t>
      </w:r>
    </w:p>
    <w:p>
      <w:pPr>
        <w:keepNext w:val="0"/>
        <w:keepLines w:val="0"/>
        <w:pageBreakBefore w:val="0"/>
        <w:kinsoku/>
        <w:wordWrap/>
        <w:overflowPunct/>
        <w:topLinePunct w:val="0"/>
        <w:autoSpaceDE/>
        <w:autoSpaceDN/>
        <w:bidi w:val="0"/>
        <w:spacing w:line="572" w:lineRule="exact"/>
        <w:ind w:firstLine="640" w:firstLineChars="200"/>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bidi="ar-SA"/>
        </w:rPr>
        <w:t>三是2020年“四好农村路”以奖代补资金完成预期目标，拨付资金230万元，对全市</w:t>
      </w:r>
      <w:r>
        <w:rPr>
          <w:rFonts w:hint="eastAsia" w:ascii="仿宋_GB2312" w:hAnsi="宋体" w:eastAsia="仿宋_GB2312" w:cs="宋体"/>
          <w:kern w:val="0"/>
          <w:sz w:val="32"/>
          <w:szCs w:val="32"/>
          <w:shd w:val="clear" w:color="auto" w:fill="FFFFFF"/>
          <w:lang w:val="en-US" w:eastAsia="zh-CN"/>
        </w:rPr>
        <w:t>12个乡镇、街道农村公路环境进行整治。</w:t>
      </w:r>
    </w:p>
    <w:p>
      <w:pPr>
        <w:pStyle w:val="8"/>
        <w:keepNext w:val="0"/>
        <w:keepLines w:val="0"/>
        <w:pageBreakBefore w:val="0"/>
        <w:kinsoku/>
        <w:wordWrap/>
        <w:overflowPunct/>
        <w:topLinePunct w:val="0"/>
        <w:autoSpaceDE/>
        <w:autoSpaceDN/>
        <w:bidi w:val="0"/>
        <w:spacing w:line="572" w:lineRule="exact"/>
        <w:ind w:firstLine="640" w:firstLineChars="200"/>
        <w:textAlignment w:val="auto"/>
        <w:rPr>
          <w:rFonts w:hint="default"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四是20年养护和应急保通中心养护管理站建设达成预期目标，支付资金500万元，完成建设养护和应急保通中心养护管理站1个。</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五是</w:t>
      </w:r>
      <w:r>
        <w:rPr>
          <w:rFonts w:hint="eastAsia" w:ascii="仿宋_GB2312" w:hAnsi="宋体" w:eastAsia="仿宋_GB2312" w:cs="宋体"/>
          <w:kern w:val="0"/>
          <w:sz w:val="32"/>
          <w:szCs w:val="32"/>
          <w:shd w:val="clear" w:color="auto" w:fill="FFFFFF"/>
          <w:lang w:val="en-US" w:eastAsia="zh-CN"/>
        </w:rPr>
        <w:t>2020年</w:t>
      </w:r>
      <w:r>
        <w:rPr>
          <w:rFonts w:hint="eastAsia" w:ascii="仿宋_GB2312" w:hAnsi="宋体" w:eastAsia="仿宋_GB2312" w:cs="宋体"/>
          <w:kern w:val="0"/>
          <w:sz w:val="32"/>
          <w:szCs w:val="32"/>
          <w:shd w:val="clear" w:color="auto" w:fill="FFFFFF"/>
          <w:lang w:val="zh-CN"/>
        </w:rPr>
        <w:t>“四好农村路”示范县专项补助完成支付，按年初计划考核共补助给各乡镇合计</w:t>
      </w:r>
      <w:r>
        <w:rPr>
          <w:rFonts w:hint="eastAsia" w:ascii="仿宋_GB2312" w:hAnsi="宋体" w:eastAsia="仿宋_GB2312" w:cs="宋体"/>
          <w:kern w:val="0"/>
          <w:sz w:val="32"/>
          <w:szCs w:val="32"/>
          <w:shd w:val="clear" w:color="auto" w:fill="FFFFFF"/>
          <w:lang w:val="en-US" w:eastAsia="zh-CN"/>
        </w:rPr>
        <w:t>314.85</w:t>
      </w:r>
      <w:r>
        <w:rPr>
          <w:rFonts w:hint="eastAsia" w:ascii="仿宋_GB2312" w:hAnsi="宋体" w:eastAsia="仿宋_GB2312" w:cs="宋体"/>
          <w:kern w:val="0"/>
          <w:sz w:val="32"/>
          <w:szCs w:val="32"/>
          <w:shd w:val="clear" w:color="auto" w:fill="FFFFFF"/>
          <w:lang w:val="zh-CN"/>
        </w:rPr>
        <w:t>万元，用于对全市</w:t>
      </w:r>
      <w:r>
        <w:rPr>
          <w:rFonts w:hint="eastAsia" w:ascii="仿宋_GB2312" w:hAnsi="宋体" w:eastAsia="仿宋_GB2312" w:cs="宋体"/>
          <w:kern w:val="0"/>
          <w:sz w:val="32"/>
          <w:szCs w:val="32"/>
          <w:shd w:val="clear" w:color="auto" w:fill="FFFFFF"/>
          <w:lang w:val="en-US" w:eastAsia="zh-CN"/>
        </w:rPr>
        <w:t>12个乡镇、街道农村公路进行补助。</w:t>
      </w:r>
    </w:p>
    <w:p>
      <w:pPr>
        <w:pStyle w:val="8"/>
        <w:keepNext w:val="0"/>
        <w:keepLines w:val="0"/>
        <w:pageBreakBefore w:val="0"/>
        <w:widowControl w:val="0"/>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六是农村客运成品油价格补助支付资金346.05万元，弥补农村客运车辆日常经营亏损，保障群众日常出行需求。</w:t>
      </w:r>
    </w:p>
    <w:p>
      <w:pPr>
        <w:keepNext w:val="0"/>
        <w:keepLines w:val="0"/>
        <w:pageBreakBefore w:val="0"/>
        <w:widowControl w:val="0"/>
        <w:kinsoku/>
        <w:wordWrap/>
        <w:overflowPunct/>
        <w:topLinePunct w:val="0"/>
        <w:autoSpaceDE/>
        <w:autoSpaceDN/>
        <w:bidi w:val="0"/>
        <w:adjustRightInd/>
        <w:spacing w:line="572" w:lineRule="exact"/>
        <w:ind w:firstLine="640" w:firstLineChars="200"/>
        <w:textAlignment w:val="auto"/>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七是车辆购置税收入补助普通省道和农村公路项目完成资金拨付610.6万元，新建客运站1个。</w:t>
      </w:r>
    </w:p>
    <w:p>
      <w:pPr>
        <w:pStyle w:val="8"/>
        <w:keepNext w:val="0"/>
        <w:keepLines w:val="0"/>
        <w:pageBreakBefore w:val="0"/>
        <w:widowControl w:val="0"/>
        <w:kinsoku/>
        <w:wordWrap/>
        <w:overflowPunct/>
        <w:topLinePunct w:val="0"/>
        <w:autoSpaceDE/>
        <w:autoSpaceDN/>
        <w:bidi w:val="0"/>
        <w:adjustRightInd/>
        <w:spacing w:line="572" w:lineRule="exact"/>
        <w:ind w:firstLine="640" w:firstLineChars="200"/>
        <w:textAlignment w:val="auto"/>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八是成品油税费改革用于G350预防性养护和中修完成资金拨付581.32万元，实施G350大中修10公里。</w:t>
      </w:r>
    </w:p>
    <w:p>
      <w:pPr>
        <w:keepNext w:val="0"/>
        <w:keepLines w:val="0"/>
        <w:pageBreakBefore w:val="0"/>
        <w:widowControl w:val="0"/>
        <w:kinsoku/>
        <w:wordWrap/>
        <w:overflowPunct/>
        <w:topLinePunct w:val="0"/>
        <w:autoSpaceDE/>
        <w:autoSpaceDN/>
        <w:bidi w:val="0"/>
        <w:adjustRightInd/>
        <w:spacing w:line="572" w:lineRule="exact"/>
        <w:ind w:firstLine="640" w:firstLineChars="200"/>
        <w:textAlignment w:val="auto"/>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九是成品油税费改革用于农村公路养护完成资金拨付120.1万元，完成1114.3公里农村公路养护。</w:t>
      </w:r>
    </w:p>
    <w:p>
      <w:pPr>
        <w:pStyle w:val="8"/>
        <w:keepNext w:val="0"/>
        <w:keepLines w:val="0"/>
        <w:pageBreakBefore w:val="0"/>
        <w:widowControl w:val="0"/>
        <w:kinsoku/>
        <w:wordWrap/>
        <w:overflowPunct/>
        <w:topLinePunct w:val="0"/>
        <w:autoSpaceDE/>
        <w:autoSpaceDN/>
        <w:bidi w:val="0"/>
        <w:adjustRightInd/>
        <w:spacing w:line="572" w:lineRule="exact"/>
        <w:ind w:firstLine="640" w:firstLineChars="200"/>
        <w:textAlignment w:val="auto"/>
        <w:rPr>
          <w:rFonts w:hint="default"/>
          <w:lang w:val="en-US" w:eastAsia="zh-CN"/>
        </w:rPr>
      </w:pPr>
      <w:r>
        <w:rPr>
          <w:rFonts w:hint="eastAsia" w:ascii="仿宋_GB2312" w:hAnsi="宋体" w:eastAsia="仿宋_GB2312" w:cs="宋体"/>
          <w:kern w:val="0"/>
          <w:sz w:val="32"/>
          <w:szCs w:val="32"/>
          <w:shd w:val="clear" w:color="auto" w:fill="FFFFFF"/>
          <w:lang w:val="en-US" w:eastAsia="zh-CN" w:bidi="ar-SA"/>
        </w:rPr>
        <w:t>十是取消政府还贷二级公路收费用于交通建设项目完成资金拨付284.8万元，完成天池至禄市道路扩宽0.9公里。</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评分标准满分4分，根据评分公式计算，评价得分3.</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（3）编制准确。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年财政下达年度预算总额</w:t>
      </w:r>
      <w:r>
        <w:rPr>
          <w:rFonts w:hint="eastAsia" w:ascii="仿宋_GB2312" w:hAnsi="宋体" w:eastAsia="仿宋_GB2312" w:cs="宋体"/>
          <w:color w:val="000000"/>
          <w:kern w:val="0"/>
          <w:sz w:val="32"/>
          <w:szCs w:val="32"/>
          <w:shd w:val="clear" w:color="auto" w:fill="FFFFFF"/>
          <w:lang w:val="en-US" w:eastAsia="zh-CN"/>
        </w:rPr>
        <w:t>5093.63</w:t>
      </w:r>
      <w:r>
        <w:rPr>
          <w:rFonts w:hint="eastAsia" w:ascii="仿宋_GB2312" w:hAnsi="宋体" w:eastAsia="仿宋_GB2312" w:cs="宋体"/>
          <w:color w:val="000000"/>
          <w:kern w:val="0"/>
          <w:sz w:val="32"/>
          <w:szCs w:val="32"/>
          <w:shd w:val="clear" w:color="auto" w:fill="FFFFFF"/>
          <w:lang w:val="zh-CN"/>
        </w:rPr>
        <w:t>万元，结转资金</w:t>
      </w:r>
      <w:r>
        <w:rPr>
          <w:rFonts w:hint="eastAsia" w:ascii="仿宋_GB2312" w:hAnsi="宋体" w:eastAsia="仿宋_GB2312" w:cs="宋体"/>
          <w:color w:val="000000"/>
          <w:kern w:val="0"/>
          <w:sz w:val="32"/>
          <w:szCs w:val="32"/>
          <w:shd w:val="clear" w:color="auto" w:fill="FFFFFF"/>
          <w:lang w:val="en-US" w:eastAsia="zh-CN"/>
        </w:rPr>
        <w:t>1689.32万元，本年支出6782.95万元。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评分标准满分2分，根据评分公式计算，评价得分2分。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2.预算执行情况。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（1）支出控制。</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部门日常公用经费、项目支出中“办公费、印刷费、水费、电费、物业管理费”等科目，年初预算数</w:t>
      </w:r>
      <w:r>
        <w:rPr>
          <w:rFonts w:hint="eastAsia" w:ascii="仿宋_GB2312" w:hAnsi="宋体" w:eastAsia="仿宋_GB2312" w:cs="宋体"/>
          <w:color w:val="000000"/>
          <w:kern w:val="0"/>
          <w:sz w:val="32"/>
          <w:szCs w:val="32"/>
          <w:shd w:val="clear" w:color="auto" w:fill="FFFFFF"/>
          <w:lang w:val="en-US" w:eastAsia="zh-CN"/>
        </w:rPr>
        <w:t>281.72</w:t>
      </w:r>
      <w:r>
        <w:rPr>
          <w:rFonts w:hint="eastAsia" w:ascii="仿宋_GB2312" w:hAnsi="宋体" w:eastAsia="仿宋_GB2312" w:cs="宋体"/>
          <w:color w:val="000000"/>
          <w:kern w:val="0"/>
          <w:sz w:val="32"/>
          <w:szCs w:val="32"/>
          <w:shd w:val="clear" w:color="auto" w:fill="FFFFFF"/>
          <w:lang w:val="zh-CN"/>
        </w:rPr>
        <w:t>万元，年末决算</w:t>
      </w:r>
      <w:r>
        <w:rPr>
          <w:rFonts w:hint="eastAsia" w:ascii="仿宋_GB2312" w:hAnsi="宋体" w:eastAsia="仿宋_GB2312" w:cs="宋体"/>
          <w:color w:val="000000"/>
          <w:kern w:val="0"/>
          <w:sz w:val="32"/>
          <w:szCs w:val="32"/>
          <w:shd w:val="clear" w:color="auto" w:fill="FFFFFF"/>
          <w:lang w:val="en-US" w:eastAsia="zh-CN"/>
        </w:rPr>
        <w:t>283.63</w:t>
      </w:r>
      <w:r>
        <w:rPr>
          <w:rFonts w:hint="eastAsia" w:ascii="仿宋_GB2312" w:hAnsi="宋体" w:eastAsia="仿宋_GB2312" w:cs="宋体"/>
          <w:color w:val="000000"/>
          <w:kern w:val="0"/>
          <w:sz w:val="32"/>
          <w:szCs w:val="32"/>
          <w:shd w:val="clear" w:color="auto" w:fill="FFFFFF"/>
          <w:lang w:val="zh-CN"/>
        </w:rPr>
        <w:t>万元，差额</w:t>
      </w:r>
      <w:r>
        <w:rPr>
          <w:rFonts w:hint="eastAsia" w:ascii="仿宋_GB2312" w:hAnsi="宋体" w:eastAsia="仿宋_GB2312" w:cs="宋体"/>
          <w:color w:val="000000"/>
          <w:kern w:val="0"/>
          <w:sz w:val="32"/>
          <w:szCs w:val="32"/>
          <w:shd w:val="clear" w:color="auto" w:fill="FFFFFF"/>
          <w:lang w:val="en-US" w:eastAsia="zh-CN"/>
        </w:rPr>
        <w:t>1.91</w:t>
      </w:r>
      <w:r>
        <w:rPr>
          <w:rFonts w:hint="eastAsia" w:ascii="仿宋_GB2312" w:hAnsi="宋体" w:eastAsia="仿宋_GB2312" w:cs="宋体"/>
          <w:color w:val="000000"/>
          <w:kern w:val="0"/>
          <w:sz w:val="32"/>
          <w:szCs w:val="32"/>
          <w:shd w:val="clear" w:color="auto" w:fill="FFFFFF"/>
          <w:lang w:val="zh-CN"/>
        </w:rPr>
        <w:t>万元，预决算偏差度</w:t>
      </w:r>
      <w:r>
        <w:rPr>
          <w:rFonts w:hint="eastAsia" w:ascii="仿宋_GB2312" w:hAnsi="宋体" w:eastAsia="仿宋_GB2312" w:cs="宋体"/>
          <w:color w:val="000000"/>
          <w:kern w:val="0"/>
          <w:sz w:val="32"/>
          <w:szCs w:val="32"/>
          <w:shd w:val="clear" w:color="auto" w:fill="FFFFFF"/>
          <w:lang w:val="en-US" w:eastAsia="zh-CN"/>
        </w:rPr>
        <w:t>0.68</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评分标准满分4分，根据评分公式计算，评价得分3.</w:t>
      </w: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（2）预算动态调整。</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年华蓥市交通运输局部门绩效监控，年中因人员增减变动申请日常公用经费调整预算合计</w:t>
      </w:r>
      <w:r>
        <w:rPr>
          <w:rFonts w:hint="eastAsia" w:ascii="仿宋_GB2312" w:hAnsi="宋体" w:eastAsia="仿宋_GB2312" w:cs="宋体"/>
          <w:color w:val="000000"/>
          <w:kern w:val="0"/>
          <w:sz w:val="32"/>
          <w:szCs w:val="32"/>
          <w:shd w:val="clear" w:color="auto" w:fill="FFFFFF"/>
          <w:lang w:val="en-US" w:eastAsia="zh-CN"/>
        </w:rPr>
        <w:t>14.44</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评分标准满分2分，根据评分公式计算，评价得分2分。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3.完成结果情况。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（1）预算完成情况。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华蓥市交通运输局12月部门预算总支出</w:t>
      </w:r>
      <w:r>
        <w:rPr>
          <w:rFonts w:hint="eastAsia" w:ascii="仿宋_GB2312" w:hAnsi="宋体" w:eastAsia="仿宋_GB2312" w:cs="宋体"/>
          <w:kern w:val="0"/>
          <w:sz w:val="32"/>
          <w:szCs w:val="32"/>
          <w:shd w:val="clear" w:color="auto" w:fill="FFFFFF"/>
          <w:lang w:val="en-US" w:eastAsia="zh-CN"/>
        </w:rPr>
        <w:t>4494.09</w:t>
      </w:r>
      <w:r>
        <w:rPr>
          <w:rFonts w:hint="eastAsia" w:ascii="仿宋_GB2312" w:hAnsi="宋体" w:eastAsia="仿宋_GB2312" w:cs="宋体"/>
          <w:kern w:val="0"/>
          <w:sz w:val="32"/>
          <w:szCs w:val="32"/>
          <w:shd w:val="clear" w:color="auto" w:fill="FFFFFF"/>
          <w:lang w:val="zh-CN"/>
        </w:rPr>
        <w:t>万元，年度总预算</w:t>
      </w:r>
      <w:r>
        <w:rPr>
          <w:rFonts w:hint="eastAsia" w:ascii="仿宋_GB2312" w:hAnsi="宋体" w:eastAsia="仿宋_GB2312" w:cs="宋体"/>
          <w:kern w:val="0"/>
          <w:sz w:val="32"/>
          <w:szCs w:val="32"/>
          <w:shd w:val="clear" w:color="auto" w:fill="FFFFFF"/>
          <w:lang w:val="en-US" w:eastAsia="zh-CN"/>
        </w:rPr>
        <w:t>4494.09</w:t>
      </w:r>
      <w:r>
        <w:rPr>
          <w:rFonts w:hint="eastAsia" w:ascii="仿宋_GB2312" w:hAnsi="宋体" w:eastAsia="仿宋_GB2312" w:cs="宋体"/>
          <w:kern w:val="0"/>
          <w:sz w:val="32"/>
          <w:szCs w:val="32"/>
          <w:shd w:val="clear" w:color="auto" w:fill="FFFFFF"/>
          <w:lang w:val="zh-CN"/>
        </w:rPr>
        <w:t>万元，预算执行进度</w:t>
      </w:r>
      <w:r>
        <w:rPr>
          <w:rFonts w:hint="eastAsia" w:ascii="仿宋_GB2312" w:hAnsi="宋体" w:eastAsia="仿宋_GB2312" w:cs="宋体"/>
          <w:kern w:val="0"/>
          <w:sz w:val="32"/>
          <w:szCs w:val="32"/>
          <w:shd w:val="clear" w:color="auto" w:fill="FFFFFF"/>
          <w:lang w:val="en-US" w:eastAsia="zh-CN"/>
        </w:rPr>
        <w:t>100</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评分标准满分4分，根据评分公式计算，评价得分</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lang w:val="zh-CN"/>
        </w:rPr>
        <w:t>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（2）违规记录情况。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预算执行存在支付进度不达标的情况。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评分标准满分4分，根据评分公式计算，评价得分3分。（二）项目预算管理。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1.项目基本情况。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根据202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年决算数据，华蓥市交通运输局本级项目预算总支出</w:t>
      </w:r>
      <w:r>
        <w:rPr>
          <w:rFonts w:hint="eastAsia" w:ascii="仿宋_GB2312" w:hAnsi="宋体" w:eastAsia="仿宋_GB2312" w:cs="宋体"/>
          <w:kern w:val="0"/>
          <w:sz w:val="32"/>
          <w:szCs w:val="32"/>
          <w:shd w:val="clear" w:color="auto" w:fill="FFFFFF"/>
          <w:lang w:val="en-US" w:eastAsia="zh-CN"/>
        </w:rPr>
        <w:t>3911.39</w:t>
      </w:r>
      <w:r>
        <w:rPr>
          <w:rFonts w:hint="eastAsia" w:ascii="仿宋_GB2312" w:hAnsi="宋体" w:eastAsia="仿宋_GB2312" w:cs="宋体"/>
          <w:kern w:val="0"/>
          <w:sz w:val="32"/>
          <w:szCs w:val="32"/>
          <w:shd w:val="clear" w:color="auto" w:fill="FFFFFF"/>
          <w:lang w:val="zh-CN"/>
        </w:rPr>
        <w:t>万元。</w:t>
      </w:r>
    </w:p>
    <w:p>
      <w:pPr>
        <w:widowControl/>
        <w:numPr>
          <w:ilvl w:val="0"/>
          <w:numId w:val="0"/>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项目目标完成情况。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华蓥市交通运输局本级所涉及的</w:t>
      </w:r>
      <w:r>
        <w:rPr>
          <w:rFonts w:hint="eastAsia" w:ascii="仿宋_GB2312" w:hAnsi="宋体" w:eastAsia="仿宋_GB2312" w:cs="宋体"/>
          <w:kern w:val="0"/>
          <w:sz w:val="32"/>
          <w:szCs w:val="32"/>
          <w:shd w:val="clear" w:color="auto" w:fill="FFFFFF"/>
          <w:lang w:val="en-US" w:eastAsia="zh-CN" w:bidi="ar-SA"/>
        </w:rPr>
        <w:t>13</w:t>
      </w:r>
      <w:r>
        <w:rPr>
          <w:rFonts w:hint="eastAsia" w:ascii="仿宋_GB2312" w:hAnsi="宋体" w:eastAsia="仿宋_GB2312" w:cs="宋体"/>
          <w:kern w:val="0"/>
          <w:sz w:val="32"/>
          <w:szCs w:val="32"/>
          <w:shd w:val="clear" w:color="auto" w:fill="FFFFFF"/>
          <w:lang w:val="zh-CN" w:eastAsia="zh-CN" w:bidi="ar-SA"/>
        </w:rPr>
        <w:t>个项目，已完成预期目标和支付。</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3．项目效果情况等。</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1）树立艰苦奋斗的意识。目前我单位需要用到资金的地方很多，资金供求矛盾仍十分突出，我们必须牢固树立艰苦奋斗意识，自觉做到精打细算，厉行节约，反对铺张浪费，把有限的资金用到刀刃上，确保必要的、正常的经费支出需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2）加强预算管理，提高资金使用效率。首先要规范预算编制，严格按照部门预算改革的要求和上级的统一部署，严格按"两上两下"的预算编制程序完成预算的编制和上报工作，实现逐级编制综合预算的目标。其次是要严格预算执行，坚持没有预算就不能支出的原则，严格执行财务制度，遏止随意花钱，铺张浪费的问题。第三是要认真落实基本支出经费最低保障线制度，认真落实经费最低保障线制度，确保单位基本经费支出的需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评分标准满分</w:t>
      </w:r>
      <w:r>
        <w:rPr>
          <w:rFonts w:hint="eastAsia" w:ascii="仿宋_GB2312" w:hAnsi="宋体" w:eastAsia="仿宋_GB2312" w:cs="宋体"/>
          <w:kern w:val="0"/>
          <w:sz w:val="32"/>
          <w:szCs w:val="32"/>
          <w:shd w:val="clear" w:color="auto" w:fill="FFFFFF"/>
          <w:lang w:val="en-US" w:eastAsia="zh-CN" w:bidi="ar-SA"/>
        </w:rPr>
        <w:t>6</w:t>
      </w:r>
      <w:r>
        <w:rPr>
          <w:rFonts w:hint="eastAsia" w:ascii="仿宋_GB2312" w:hAnsi="宋体" w:eastAsia="仿宋_GB2312" w:cs="宋体"/>
          <w:kern w:val="0"/>
          <w:sz w:val="32"/>
          <w:szCs w:val="32"/>
          <w:shd w:val="clear" w:color="auto" w:fill="FFFFFF"/>
          <w:lang w:val="zh-CN" w:eastAsia="zh-CN" w:bidi="ar-SA"/>
        </w:rPr>
        <w:t>0分，根据评分公式计算，评价得分</w:t>
      </w:r>
      <w:r>
        <w:rPr>
          <w:rFonts w:hint="eastAsia" w:ascii="仿宋_GB2312" w:hAnsi="宋体" w:eastAsia="仿宋_GB2312" w:cs="宋体"/>
          <w:kern w:val="0"/>
          <w:sz w:val="32"/>
          <w:szCs w:val="32"/>
          <w:shd w:val="clear" w:color="auto" w:fill="FFFFFF"/>
          <w:lang w:val="en-US" w:eastAsia="zh-CN" w:bidi="ar-SA"/>
        </w:rPr>
        <w:t>54</w:t>
      </w:r>
      <w:r>
        <w:rPr>
          <w:rFonts w:hint="eastAsia" w:ascii="仿宋_GB2312" w:hAnsi="宋体" w:eastAsia="仿宋_GB2312" w:cs="宋体"/>
          <w:kern w:val="0"/>
          <w:sz w:val="32"/>
          <w:szCs w:val="32"/>
          <w:shd w:val="clear" w:color="auto" w:fill="FFFFFF"/>
          <w:lang w:val="zh-CN"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（三）绩效结果应用情况。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1.绩效自评公开。</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按照华蓥市财政局的相关通知要求，我局在华蓥市财政局批复预算、决算后的二十日内，在要求的时间及规定网站，向社会公开了本部门的预算、决算信息（含所有财政资金安排的“三公”经费、机关运行经费的安排、使用情况等）、部门绩效目标、部门整体绩效自评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评分标准满分</w:t>
      </w:r>
      <w:r>
        <w:rPr>
          <w:rFonts w:hint="eastAsia" w:ascii="仿宋_GB2312" w:hAnsi="宋体" w:eastAsia="仿宋_GB2312" w:cs="宋体"/>
          <w:kern w:val="0"/>
          <w:sz w:val="32"/>
          <w:szCs w:val="32"/>
          <w:shd w:val="clear" w:color="auto" w:fill="FFFFFF"/>
          <w:lang w:val="en-US" w:eastAsia="zh-CN" w:bidi="ar-SA"/>
        </w:rPr>
        <w:t>8</w:t>
      </w:r>
      <w:r>
        <w:rPr>
          <w:rFonts w:hint="eastAsia" w:ascii="仿宋_GB2312" w:hAnsi="宋体" w:eastAsia="仿宋_GB2312" w:cs="宋体"/>
          <w:kern w:val="0"/>
          <w:sz w:val="32"/>
          <w:szCs w:val="32"/>
          <w:shd w:val="clear" w:color="auto" w:fill="FFFFFF"/>
          <w:lang w:val="zh-CN" w:eastAsia="zh-CN" w:bidi="ar-SA"/>
        </w:rPr>
        <w:t>分，根据评分公式计算，评价得分</w:t>
      </w:r>
      <w:r>
        <w:rPr>
          <w:rFonts w:hint="eastAsia" w:ascii="仿宋_GB2312" w:hAnsi="宋体" w:eastAsia="仿宋_GB2312" w:cs="宋体"/>
          <w:kern w:val="0"/>
          <w:sz w:val="32"/>
          <w:szCs w:val="32"/>
          <w:shd w:val="clear" w:color="auto" w:fill="FFFFFF"/>
          <w:lang w:val="en-US" w:eastAsia="zh-CN" w:bidi="ar-SA"/>
        </w:rPr>
        <w:t>7</w:t>
      </w:r>
      <w:r>
        <w:rPr>
          <w:rFonts w:hint="eastAsia" w:ascii="仿宋_GB2312" w:hAnsi="宋体" w:eastAsia="仿宋_GB2312" w:cs="宋体"/>
          <w:kern w:val="0"/>
          <w:sz w:val="32"/>
          <w:szCs w:val="32"/>
          <w:shd w:val="clear" w:color="auto" w:fill="FFFFFF"/>
          <w:lang w:val="zh-CN"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2.评价结果整改及应用结果反馈情况。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按照华蓥市财政局绩效管理工作相关要求完成了年度预算绩效目标编制、日常动态监控、绩效评价和绩效评价结果运用工作，按时向华蓥市财政局报送相关情况。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评分标准满分8分，根据评分公式计算，评价得分</w:t>
      </w:r>
      <w:r>
        <w:rPr>
          <w:rFonts w:hint="eastAsia" w:ascii="仿宋_GB2312" w:hAnsi="宋体" w:eastAsia="仿宋_GB2312" w:cs="宋体"/>
          <w:kern w:val="0"/>
          <w:sz w:val="32"/>
          <w:szCs w:val="32"/>
          <w:shd w:val="clear" w:color="auto" w:fill="FFFFFF"/>
          <w:lang w:val="en-US" w:eastAsia="zh-CN" w:bidi="ar-SA"/>
        </w:rPr>
        <w:t>7</w:t>
      </w:r>
      <w:r>
        <w:rPr>
          <w:rFonts w:hint="eastAsia" w:ascii="仿宋_GB2312" w:hAnsi="宋体" w:eastAsia="仿宋_GB2312" w:cs="宋体"/>
          <w:kern w:val="0"/>
          <w:sz w:val="32"/>
          <w:szCs w:val="32"/>
          <w:shd w:val="clear" w:color="auto" w:fill="FFFFFF"/>
          <w:lang w:val="zh-CN"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3.自评质量。</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eastAsia" w:ascii="仿宋_GB2312" w:hAnsi="宋体" w:eastAsia="仿宋_GB2312" w:cs="宋体"/>
          <w:kern w:val="0"/>
          <w:sz w:val="32"/>
          <w:szCs w:val="32"/>
          <w:shd w:val="clear" w:color="auto" w:fill="FFFFFF"/>
          <w:lang w:val="zh-CN" w:eastAsia="zh-CN" w:bidi="ar-SA"/>
        </w:rPr>
        <w:t>年华蓥市交通运输局整体支出自评得9</w:t>
      </w:r>
      <w:r>
        <w:rPr>
          <w:rFonts w:hint="eastAsia" w:ascii="仿宋_GB2312" w:hAnsi="宋体" w:eastAsia="仿宋_GB2312" w:cs="宋体"/>
          <w:kern w:val="0"/>
          <w:sz w:val="32"/>
          <w:szCs w:val="32"/>
          <w:shd w:val="clear" w:color="auto" w:fill="FFFFFF"/>
          <w:lang w:val="en-US" w:eastAsia="zh-CN" w:bidi="ar-SA"/>
        </w:rPr>
        <w:t>0</w:t>
      </w:r>
      <w:r>
        <w:rPr>
          <w:rFonts w:hint="eastAsia" w:ascii="仿宋_GB2312" w:hAnsi="宋体" w:eastAsia="仿宋_GB2312" w:cs="宋体"/>
          <w:kern w:val="0"/>
          <w:sz w:val="32"/>
          <w:szCs w:val="32"/>
          <w:shd w:val="clear" w:color="auto" w:fill="FFFFFF"/>
          <w:lang w:val="zh-CN" w:eastAsia="zh-CN" w:bidi="ar-SA"/>
        </w:rPr>
        <w:t>分，完成绩效目标任务较好。</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outlineLvl w:val="9"/>
        <w:rPr>
          <w:rFonts w:hint="eastAsia" w:ascii="仿宋_GB2312" w:hAnsi="宋体" w:eastAsia="仿宋_GB2312" w:cs="宋体"/>
          <w:kern w:val="0"/>
          <w:sz w:val="32"/>
          <w:szCs w:val="32"/>
          <w:shd w:val="clear" w:color="auto" w:fill="FFFFFF"/>
          <w:lang w:val="zh-CN" w:eastAsia="zh-CN" w:bidi="ar-SA"/>
        </w:rPr>
      </w:pPr>
      <w:bookmarkStart w:id="75" w:name="_Toc14576"/>
      <w:r>
        <w:rPr>
          <w:rFonts w:hint="eastAsia" w:ascii="仿宋_GB2312" w:hAnsi="宋体" w:eastAsia="仿宋_GB2312" w:cs="宋体"/>
          <w:kern w:val="0"/>
          <w:sz w:val="32"/>
          <w:szCs w:val="32"/>
          <w:shd w:val="clear" w:color="auto" w:fill="FFFFFF"/>
          <w:lang w:val="zh-CN" w:eastAsia="zh-CN" w:bidi="ar-SA"/>
        </w:rPr>
        <w:t>四、评价结论及建议</w:t>
      </w:r>
      <w:bookmarkEnd w:id="75"/>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（一）评价结论。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eastAsia" w:ascii="仿宋_GB2312" w:hAnsi="宋体" w:eastAsia="仿宋_GB2312" w:cs="宋体"/>
          <w:kern w:val="0"/>
          <w:sz w:val="32"/>
          <w:szCs w:val="32"/>
          <w:shd w:val="clear" w:color="auto" w:fill="FFFFFF"/>
          <w:lang w:val="zh-CN" w:eastAsia="zh-CN" w:bidi="ar-SA"/>
        </w:rPr>
        <w:t>年总体绩效目标制定与国家政策法规、单位职能职责、上级和本级市委市政府总体工作要求、重点工作部署等相符，较好地完成本年度交通工作目标。紧紧围绕“服务新农村、促进产业化”总体要求，建立衔接顺畅、布局合理、安全便捷的农村客运网络，努力为农村居民提供安全、便捷、经济、高效的出行服务。实现了202</w:t>
      </w:r>
      <w:r>
        <w:rPr>
          <w:rFonts w:hint="eastAsia" w:ascii="仿宋_GB2312" w:hAnsi="宋体" w:eastAsia="仿宋_GB2312" w:cs="宋体"/>
          <w:kern w:val="0"/>
          <w:sz w:val="32"/>
          <w:szCs w:val="32"/>
          <w:shd w:val="clear" w:color="auto" w:fill="FFFFFF"/>
          <w:lang w:val="en-US" w:eastAsia="zh-CN" w:bidi="ar-SA"/>
        </w:rPr>
        <w:t>1</w:t>
      </w:r>
      <w:r>
        <w:rPr>
          <w:rFonts w:hint="eastAsia" w:ascii="仿宋_GB2312" w:hAnsi="宋体" w:eastAsia="仿宋_GB2312" w:cs="宋体"/>
          <w:kern w:val="0"/>
          <w:sz w:val="32"/>
          <w:szCs w:val="32"/>
          <w:shd w:val="clear" w:color="auto" w:fill="FFFFFF"/>
          <w:lang w:val="zh-CN" w:eastAsia="zh-CN" w:bidi="ar-SA"/>
        </w:rPr>
        <w:t>年财政预算支出的绩效目标。经评价，202</w:t>
      </w:r>
      <w:r>
        <w:rPr>
          <w:rFonts w:hint="eastAsia" w:ascii="仿宋_GB2312" w:hAnsi="宋体" w:eastAsia="仿宋_GB2312" w:cs="宋体"/>
          <w:kern w:val="0"/>
          <w:sz w:val="32"/>
          <w:szCs w:val="32"/>
          <w:shd w:val="clear" w:color="auto" w:fill="FFFFFF"/>
          <w:lang w:val="en-US" w:eastAsia="zh-CN" w:bidi="ar-SA"/>
        </w:rPr>
        <w:t>1</w:t>
      </w:r>
      <w:r>
        <w:rPr>
          <w:rFonts w:hint="eastAsia" w:ascii="仿宋_GB2312" w:hAnsi="宋体" w:eastAsia="仿宋_GB2312" w:cs="宋体"/>
          <w:kern w:val="0"/>
          <w:sz w:val="32"/>
          <w:szCs w:val="32"/>
          <w:shd w:val="clear" w:color="auto" w:fill="FFFFFF"/>
          <w:lang w:val="zh-CN" w:eastAsia="zh-CN" w:bidi="ar-SA"/>
        </w:rPr>
        <w:t>年度部门整体支出绩效评价得分90分。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（二）存在问题。</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预算经费支出明细科目预、决算数据存在误差。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firstLine="640" w:firstLineChars="200"/>
        <w:textAlignment w:val="auto"/>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（三）改进建议。</w:t>
      </w:r>
    </w:p>
    <w:p>
      <w:pPr>
        <w:keepNext w:val="0"/>
        <w:keepLines w:val="0"/>
        <w:pageBreakBefore w:val="0"/>
        <w:widowControl/>
        <w:kinsoku/>
        <w:wordWrap/>
        <w:overflowPunct/>
        <w:topLinePunct w:val="0"/>
        <w:autoSpaceDE/>
        <w:autoSpaceDN/>
        <w:bidi w:val="0"/>
        <w:adjustRightInd/>
        <w:snapToGrid/>
        <w:spacing w:line="240" w:lineRule="atLeast"/>
        <w:ind w:firstLine="640" w:firstLineChars="200"/>
        <w:jc w:val="both"/>
        <w:textAlignment w:val="center"/>
        <w:rPr>
          <w:rFonts w:hint="eastAsia" w:ascii="宋体" w:hAnsi="宋体" w:cs="宋体"/>
          <w:b/>
          <w:sz w:val="32"/>
          <w:szCs w:val="32"/>
        </w:rPr>
      </w:pPr>
      <w:r>
        <w:rPr>
          <w:rFonts w:hint="eastAsia" w:ascii="仿宋_GB2312" w:hAnsi="宋体" w:eastAsia="仿宋_GB2312" w:cs="宋体"/>
          <w:kern w:val="0"/>
          <w:sz w:val="32"/>
          <w:szCs w:val="32"/>
          <w:shd w:val="clear" w:color="auto" w:fill="FFFFFF"/>
          <w:lang w:val="zh-CN" w:eastAsia="zh-CN" w:bidi="ar-SA"/>
        </w:rPr>
        <w:t>根据上年度预算实际执行情况和支出绩效评价结果，加强预算需求分析，合理调节指标明细科目的使用额度，提高预算编制准确度。</w:t>
      </w:r>
      <w:r>
        <w:rPr>
          <w:rFonts w:hint="eastAsia" w:ascii="宋体" w:hAnsi="宋体" w:cs="宋体"/>
          <w:b/>
          <w:sz w:val="32"/>
          <w:szCs w:val="32"/>
        </w:rPr>
        <w:br w:type="page"/>
      </w:r>
    </w:p>
    <w:p>
      <w:pPr>
        <w:pStyle w:val="24"/>
        <w:numPr>
          <w:ilvl w:val="0"/>
          <w:numId w:val="0"/>
        </w:numPr>
        <w:spacing w:line="600" w:lineRule="exact"/>
        <w:ind w:left="640" w:leftChars="0"/>
        <w:outlineLvl w:val="1"/>
        <w:rPr>
          <w:rFonts w:hint="eastAsia" w:ascii="黑体" w:hAnsi="黑体" w:eastAsia="黑体" w:cs="Times New Roman"/>
          <w:sz w:val="32"/>
          <w:szCs w:val="32"/>
          <w:lang w:val="en-US" w:eastAsia="zh-CN"/>
        </w:rPr>
      </w:pPr>
      <w:bookmarkStart w:id="76" w:name="_Toc1024"/>
      <w:r>
        <w:rPr>
          <w:rFonts w:hint="eastAsia" w:ascii="黑体" w:hAnsi="黑体" w:eastAsia="黑体" w:cs="Times New Roman"/>
          <w:sz w:val="32"/>
          <w:szCs w:val="32"/>
          <w:lang w:val="zh-CN"/>
        </w:rPr>
        <w:t>附件</w:t>
      </w:r>
      <w:r>
        <w:rPr>
          <w:rFonts w:hint="eastAsia" w:ascii="黑体" w:hAnsi="黑体" w:eastAsia="黑体" w:cs="Times New Roman"/>
          <w:sz w:val="32"/>
          <w:szCs w:val="32"/>
          <w:lang w:val="en-US" w:eastAsia="zh-CN"/>
        </w:rPr>
        <w:t>2</w:t>
      </w:r>
      <w:bookmarkEnd w:id="76"/>
    </w:p>
    <w:p>
      <w:pPr>
        <w:spacing w:line="6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lang w:val="en-US" w:eastAsia="zh-CN"/>
        </w:rPr>
        <w:t>新能源汽车用电专项补贴</w:t>
      </w:r>
      <w:r>
        <w:rPr>
          <w:rFonts w:hint="eastAsia" w:ascii="方正小标宋简体" w:hAnsi="宋体" w:eastAsia="方正小标宋简体"/>
          <w:color w:val="000000"/>
          <w:kern w:val="0"/>
          <w:sz w:val="44"/>
          <w:szCs w:val="44"/>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outlineLvl w:val="9"/>
        <w:rPr>
          <w:rFonts w:ascii="黑体" w:hAnsi="宋体" w:eastAsia="黑体"/>
          <w:sz w:val="32"/>
          <w:szCs w:val="32"/>
          <w:lang w:val="zh-CN"/>
        </w:rPr>
      </w:pPr>
      <w:bookmarkStart w:id="77" w:name="_Toc1814"/>
      <w:r>
        <w:rPr>
          <w:rFonts w:hint="eastAsia" w:ascii="黑体" w:hAnsi="宋体" w:eastAsia="黑体"/>
          <w:sz w:val="32"/>
          <w:szCs w:val="32"/>
        </w:rPr>
        <w:t>一、</w:t>
      </w:r>
      <w:r>
        <w:rPr>
          <w:rFonts w:hint="eastAsia" w:ascii="黑体" w:hAnsi="宋体" w:eastAsia="黑体"/>
          <w:sz w:val="32"/>
          <w:szCs w:val="32"/>
          <w:lang w:val="zh-CN"/>
        </w:rPr>
        <w:t>项目概况</w:t>
      </w:r>
      <w:bookmarkEnd w:id="77"/>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项目主管单位：华蓥市交通运输局。</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职能：牵头实施项目、编制实施方案、监管并推进</w:t>
      </w:r>
      <w:r>
        <w:rPr>
          <w:rFonts w:hint="eastAsia" w:ascii="仿宋_GB2312" w:hAnsi="宋体" w:eastAsia="仿宋_GB2312"/>
          <w:sz w:val="32"/>
          <w:szCs w:val="32"/>
          <w:lang w:val="zh-CN" w:eastAsia="zh-CN"/>
        </w:rPr>
        <w:t>新能源汽车用电项目的实施。</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根据</w:t>
      </w:r>
      <w:r>
        <w:rPr>
          <w:rFonts w:ascii="仿宋_GB2312" w:hAnsi="宋体" w:eastAsia="仿宋_GB2312"/>
          <w:sz w:val="32"/>
          <w:szCs w:val="32"/>
          <w:lang w:val="zh-CN"/>
        </w:rPr>
        <w:t>广安府办发〔2018〕34号</w:t>
      </w:r>
      <w:r>
        <w:rPr>
          <w:rFonts w:hint="eastAsia" w:ascii="仿宋_GB2312" w:hAnsi="宋体" w:eastAsia="仿宋_GB2312"/>
          <w:sz w:val="32"/>
          <w:szCs w:val="32"/>
          <w:lang w:val="zh-CN" w:eastAsia="zh-CN"/>
        </w:rPr>
        <w:t>第七条第（四）点“凡在我市注册登记的新能源汽车，5年内在公共充电设施充电时免收充电电费，产生的充电电费由智能化管理平台运营公司先期垫付，所在地财政纳入民生工程据实解决。”  的文件精神而设立。</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（1）项目资金使用范围：用于支付在我市注册登记的新能源汽车在我市公共充电设施充电所产生的充电电费。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（2）项目资金支持方式：</w:t>
      </w:r>
      <w:r>
        <w:rPr>
          <w:rFonts w:hint="eastAsia" w:ascii="仿宋_GB2312" w:hAnsi="宋体" w:eastAsia="仿宋_GB2312"/>
          <w:sz w:val="32"/>
          <w:szCs w:val="32"/>
          <w:lang w:val="zh-CN" w:eastAsia="zh-CN"/>
        </w:rPr>
        <w:t>我局根据项目单位提供的新能源充电电费拨付请示、电费支付发票等相关资料在预算范围内向市财政局进行申请，由市财政局统一支付。</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每年在收到上级资金预算文件后，按照上级预算安排，结合实际需求拨付项目资金。专项资金采取据实分配的力法，根据项目单位的实际用电金额及缺口数，结合实际分配资金。在分配资金时坚持"实用、够用、安全、节俭"的原则，把满足基本需要放在首位，注重投入效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保证新能源汽车充电站的稳定运行，保证我市新能源汽车（新能源公交车、出租车、私家车）的正常用电。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．项目具体绩效目标。</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（1）保证我市新能源汽车的正常用电，进一步加快新能源汽车推广应用，促进公共交通运输行业节能减排和结构调整，实现新能源汽车行业健康稳定发展。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eastAsia="zh-CN"/>
        </w:rPr>
        <w:t>（2）202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年计划新能源汽车用电专项资金</w:t>
      </w:r>
      <w:r>
        <w:rPr>
          <w:rFonts w:hint="eastAsia" w:ascii="仿宋_GB2312" w:hAnsi="宋体" w:eastAsia="仿宋_GB2312"/>
          <w:sz w:val="32"/>
          <w:szCs w:val="32"/>
          <w:lang w:val="en-US" w:eastAsia="zh-CN"/>
        </w:rPr>
        <w:t>14</w:t>
      </w:r>
      <w:r>
        <w:rPr>
          <w:rFonts w:hint="eastAsia" w:ascii="仿宋_GB2312" w:hAnsi="宋体" w:eastAsia="仿宋_GB2312"/>
          <w:sz w:val="32"/>
          <w:szCs w:val="32"/>
          <w:lang w:val="zh-CN" w:eastAsia="zh-CN"/>
        </w:rPr>
        <w:t>0万元，预计为</w:t>
      </w:r>
      <w:r>
        <w:rPr>
          <w:rFonts w:hint="eastAsia" w:ascii="仿宋_GB2312" w:hAnsi="宋体" w:eastAsia="仿宋_GB2312"/>
          <w:sz w:val="32"/>
          <w:szCs w:val="32"/>
          <w:lang w:val="en-US" w:eastAsia="zh-CN"/>
        </w:rPr>
        <w:t>200</w:t>
      </w:r>
      <w:r>
        <w:rPr>
          <w:rFonts w:hint="eastAsia" w:ascii="仿宋_GB2312" w:hAnsi="宋体" w:eastAsia="仿宋_GB2312"/>
          <w:sz w:val="32"/>
          <w:szCs w:val="32"/>
          <w:lang w:val="zh-CN" w:eastAsia="zh-CN"/>
        </w:rPr>
        <w:t>辆新能源汽车提供用电支持，我市新能源汽车充电电费支付完成率争取达到 100%，在202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年12月完成202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年度新能源汽车充电电费支付。</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本年度申报内容与实际相符，申报目标合理可行。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1.了解、收集本项目的相关基础信息资料;</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2.参照县部门财政支出项目绩效和整体支出评价指标体系;</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3.根据项目实施情况和评价指标体系的要求，填报评分表和数据统计表;</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4.评价工作小组根据现场调查，补充和核实相关信息;</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5.撰写评价报告并提交评价报告。</w:t>
      </w:r>
    </w:p>
    <w:p>
      <w:pPr>
        <w:adjustRightInd w:val="0"/>
        <w:snapToGrid w:val="0"/>
        <w:spacing w:line="600" w:lineRule="exact"/>
        <w:ind w:firstLine="720"/>
        <w:outlineLvl w:val="9"/>
        <w:rPr>
          <w:rFonts w:ascii="黑体" w:hAnsi="宋体" w:eastAsia="黑体"/>
          <w:sz w:val="32"/>
          <w:szCs w:val="32"/>
        </w:rPr>
      </w:pPr>
      <w:bookmarkStart w:id="78" w:name="_Toc30807"/>
      <w:r>
        <w:rPr>
          <w:rFonts w:hint="eastAsia" w:ascii="黑体" w:hAnsi="宋体" w:eastAsia="黑体"/>
          <w:sz w:val="32"/>
          <w:szCs w:val="32"/>
        </w:rPr>
        <w:t>二、项目资金申报及使用情况</w:t>
      </w:r>
      <w:bookmarkEnd w:id="78"/>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年度</w:t>
      </w:r>
      <w:r>
        <w:rPr>
          <w:rFonts w:hint="eastAsia" w:ascii="仿宋_GB2312" w:hAnsi="宋体" w:eastAsia="仿宋_GB2312"/>
          <w:sz w:val="32"/>
          <w:szCs w:val="32"/>
          <w:lang w:val="zh-CN" w:eastAsia="zh-CN"/>
        </w:rPr>
        <w:t>申报新能源汽车用电专项</w:t>
      </w:r>
      <w:r>
        <w:rPr>
          <w:rFonts w:hint="eastAsia" w:ascii="仿宋_GB2312" w:hAnsi="宋体" w:eastAsia="仿宋_GB2312"/>
          <w:sz w:val="32"/>
          <w:szCs w:val="32"/>
          <w:lang w:val="zh-CN"/>
        </w:rPr>
        <w:t>补贴资金</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rPr>
        <w:t>万元，批复资金</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rPr>
        <w:t>万元，年中未调整预算。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我局202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年度申报新能源汽车用电专项补贴资金</w:t>
      </w:r>
      <w:r>
        <w:rPr>
          <w:rFonts w:hint="eastAsia" w:ascii="仿宋_GB2312" w:hAnsi="宋体" w:eastAsia="仿宋_GB2312"/>
          <w:sz w:val="32"/>
          <w:szCs w:val="32"/>
          <w:lang w:val="en-US" w:eastAsia="zh-CN"/>
        </w:rPr>
        <w:t>14</w:t>
      </w:r>
      <w:r>
        <w:rPr>
          <w:rFonts w:hint="eastAsia" w:ascii="仿宋_GB2312" w:hAnsi="宋体" w:eastAsia="仿宋_GB2312"/>
          <w:sz w:val="32"/>
          <w:szCs w:val="32"/>
          <w:lang w:val="zh-CN" w:eastAsia="zh-CN"/>
        </w:rPr>
        <w:t>0万元，批复资金</w:t>
      </w:r>
      <w:r>
        <w:rPr>
          <w:rFonts w:hint="eastAsia" w:ascii="仿宋_GB2312" w:hAnsi="宋体" w:eastAsia="仿宋_GB2312"/>
          <w:sz w:val="32"/>
          <w:szCs w:val="32"/>
          <w:lang w:val="en-US" w:eastAsia="zh-CN"/>
        </w:rPr>
        <w:t>14</w:t>
      </w:r>
      <w:r>
        <w:rPr>
          <w:rFonts w:hint="eastAsia" w:ascii="仿宋_GB2312" w:hAnsi="宋体" w:eastAsia="仿宋_GB2312"/>
          <w:sz w:val="32"/>
          <w:szCs w:val="32"/>
          <w:lang w:val="zh-CN" w:eastAsia="zh-CN"/>
        </w:rPr>
        <w:t>0万元，年中未调整预算。</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w:t>
      </w:r>
      <w:r>
        <w:rPr>
          <w:rFonts w:hint="eastAsia" w:ascii="仿宋_GB2312" w:hAnsi="宋体" w:eastAsia="仿宋_GB2312"/>
          <w:sz w:val="32"/>
          <w:szCs w:val="32"/>
          <w:lang w:val="zh-CN" w:eastAsia="zh-CN"/>
        </w:rPr>
        <w:t>新能源汽车用电专项补贴</w:t>
      </w:r>
      <w:r>
        <w:rPr>
          <w:rFonts w:hint="eastAsia" w:ascii="仿宋_GB2312" w:hAnsi="宋体" w:eastAsia="仿宋_GB2312"/>
          <w:sz w:val="32"/>
          <w:szCs w:val="32"/>
          <w:lang w:val="zh-CN"/>
        </w:rPr>
        <w:t>项目资金到位</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rPr>
        <w:t>万元，资金到位率100%，到位及时率100%。</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年12月，使用</w:t>
      </w:r>
      <w:r>
        <w:rPr>
          <w:rFonts w:hint="eastAsia" w:ascii="仿宋_GB2312" w:hAnsi="宋体" w:eastAsia="仿宋_GB2312"/>
          <w:sz w:val="32"/>
          <w:szCs w:val="32"/>
          <w:lang w:val="zh-CN" w:eastAsia="zh-CN"/>
        </w:rPr>
        <w:t>新能源汽车用电专项补贴</w:t>
      </w:r>
      <w:r>
        <w:rPr>
          <w:rFonts w:hint="eastAsia" w:ascii="仿宋_GB2312" w:hAnsi="宋体" w:eastAsia="仿宋_GB2312"/>
          <w:sz w:val="32"/>
          <w:szCs w:val="32"/>
          <w:lang w:val="zh-CN"/>
        </w:rPr>
        <w:t>项目资金</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rPr>
        <w:t>万元，全部用于</w:t>
      </w:r>
      <w:r>
        <w:rPr>
          <w:rFonts w:hint="eastAsia" w:ascii="仿宋_GB2312" w:hAnsi="宋体" w:eastAsia="仿宋_GB2312"/>
          <w:sz w:val="32"/>
          <w:szCs w:val="32"/>
          <w:lang w:val="zh-CN" w:eastAsia="zh-CN"/>
        </w:rPr>
        <w:t>支付我市新能源汽车充电电费</w:t>
      </w:r>
      <w:r>
        <w:rPr>
          <w:rFonts w:hint="eastAsia" w:ascii="仿宋_GB2312" w:hAnsi="宋体" w:eastAsia="仿宋_GB2312"/>
          <w:sz w:val="32"/>
          <w:szCs w:val="32"/>
          <w:lang w:val="zh-CN"/>
        </w:rPr>
        <w:t>。资金管理及使用规范、科学、合理，与预算相符。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新能源汽车用电专项补贴</w:t>
      </w:r>
      <w:r>
        <w:rPr>
          <w:rFonts w:hint="eastAsia" w:ascii="仿宋_GB2312" w:hAnsi="宋体" w:eastAsia="仿宋_GB2312"/>
          <w:sz w:val="32"/>
          <w:szCs w:val="32"/>
          <w:lang w:val="zh-CN"/>
        </w:rPr>
        <w:t>项目</w:t>
      </w:r>
      <w:r>
        <w:rPr>
          <w:rFonts w:hint="eastAsia" w:ascii="仿宋_GB2312" w:hAnsi="宋体" w:eastAsia="仿宋_GB2312"/>
          <w:sz w:val="32"/>
          <w:szCs w:val="32"/>
          <w:lang w:val="en-US" w:eastAsia="zh-CN"/>
        </w:rPr>
        <w:t>实施单位（华蓥市蓥华公共交通有限责任公司）建立了</w:t>
      </w:r>
      <w:r>
        <w:rPr>
          <w:rFonts w:hint="eastAsia" w:ascii="仿宋_GB2312" w:hAnsi="宋体" w:eastAsia="仿宋_GB2312"/>
          <w:sz w:val="32"/>
          <w:szCs w:val="32"/>
          <w:lang w:val="zh-CN"/>
        </w:rPr>
        <w:t>《</w:t>
      </w:r>
      <w:r>
        <w:rPr>
          <w:rFonts w:hint="eastAsia" w:ascii="仿宋_GB2312" w:hAnsi="宋体" w:eastAsia="仿宋_GB2312"/>
          <w:sz w:val="32"/>
          <w:szCs w:val="32"/>
          <w:lang w:val="zh-CN" w:eastAsia="zh-CN"/>
        </w:rPr>
        <w:t>内部</w:t>
      </w:r>
      <w:r>
        <w:rPr>
          <w:rFonts w:hint="eastAsia" w:ascii="仿宋_GB2312" w:hAnsi="宋体" w:eastAsia="仿宋_GB2312"/>
          <w:sz w:val="32"/>
          <w:szCs w:val="32"/>
          <w:lang w:val="zh-CN"/>
        </w:rPr>
        <w:t>财务管理制度》</w:t>
      </w:r>
      <w:r>
        <w:rPr>
          <w:rFonts w:hint="eastAsia" w:ascii="仿宋_GB2312" w:hAnsi="宋体" w:eastAsia="仿宋_GB2312"/>
          <w:sz w:val="32"/>
          <w:szCs w:val="32"/>
          <w:lang w:val="zh-CN" w:eastAsia="zh-CN"/>
        </w:rPr>
        <w:t>、</w:t>
      </w:r>
      <w:r>
        <w:rPr>
          <w:rFonts w:hint="eastAsia" w:ascii="仿宋_GB2312" w:hAnsi="宋体" w:eastAsia="仿宋_GB2312"/>
          <w:sz w:val="32"/>
          <w:szCs w:val="32"/>
          <w:lang w:val="zh-CN"/>
        </w:rPr>
        <w:t>《</w:t>
      </w:r>
      <w:r>
        <w:rPr>
          <w:rFonts w:hint="eastAsia" w:ascii="仿宋_GB2312" w:hAnsi="宋体" w:eastAsia="仿宋_GB2312"/>
          <w:sz w:val="32"/>
          <w:szCs w:val="32"/>
          <w:lang w:val="zh-CN" w:eastAsia="zh-CN"/>
        </w:rPr>
        <w:t>货币资金管理办法</w:t>
      </w:r>
      <w:r>
        <w:rPr>
          <w:rFonts w:hint="eastAsia" w:ascii="仿宋_GB2312" w:hAnsi="宋体" w:eastAsia="仿宋_GB2312"/>
          <w:sz w:val="32"/>
          <w:szCs w:val="32"/>
          <w:lang w:val="zh-CN"/>
        </w:rPr>
        <w:t>》</w:t>
      </w:r>
      <w:r>
        <w:rPr>
          <w:rFonts w:hint="eastAsia" w:ascii="仿宋_GB2312" w:hAnsi="宋体" w:eastAsia="仿宋_GB2312"/>
          <w:sz w:val="32"/>
          <w:szCs w:val="32"/>
          <w:lang w:val="zh-CN" w:eastAsia="zh-CN"/>
        </w:rPr>
        <w:t>及《全面预算管理办法》，</w:t>
      </w:r>
      <w:r>
        <w:rPr>
          <w:rFonts w:hint="eastAsia" w:ascii="仿宋_GB2312" w:hAnsi="宋体" w:eastAsia="仿宋_GB2312"/>
          <w:sz w:val="32"/>
          <w:szCs w:val="32"/>
          <w:lang w:val="en-US" w:eastAsia="zh-CN"/>
        </w:rPr>
        <w:t>财务管理制度健全</w:t>
      </w:r>
      <w:r>
        <w:rPr>
          <w:rFonts w:hint="eastAsia" w:ascii="仿宋_GB2312" w:hAnsi="宋体" w:eastAsia="仿宋_GB2312"/>
          <w:sz w:val="32"/>
          <w:szCs w:val="32"/>
          <w:lang w:val="zh-CN"/>
        </w:rPr>
        <w:t>，严格执行财务管理制度，</w:t>
      </w:r>
      <w:r>
        <w:rPr>
          <w:rFonts w:hint="eastAsia" w:ascii="仿宋_GB2312" w:hAnsi="宋体" w:eastAsia="仿宋_GB2312"/>
          <w:sz w:val="32"/>
          <w:szCs w:val="32"/>
          <w:lang w:val="en-US" w:eastAsia="zh-CN"/>
        </w:rPr>
        <w:t>对项目经费专款专用，制度执行情况较好，</w:t>
      </w:r>
      <w:r>
        <w:rPr>
          <w:rFonts w:hint="eastAsia" w:ascii="仿宋_GB2312" w:hAnsi="宋体" w:eastAsia="仿宋_GB2312"/>
          <w:sz w:val="32"/>
          <w:szCs w:val="32"/>
          <w:lang w:val="zh-CN"/>
        </w:rPr>
        <w:t>账务处理及时，会计核算规范。</w:t>
      </w:r>
    </w:p>
    <w:p>
      <w:pPr>
        <w:adjustRightInd w:val="0"/>
        <w:snapToGrid w:val="0"/>
        <w:spacing w:line="600" w:lineRule="exact"/>
        <w:ind w:firstLine="720"/>
        <w:outlineLvl w:val="9"/>
        <w:rPr>
          <w:rFonts w:hint="eastAsia" w:ascii="黑体" w:hAnsi="宋体" w:eastAsia="黑体"/>
          <w:sz w:val="32"/>
          <w:szCs w:val="32"/>
        </w:rPr>
      </w:pPr>
      <w:bookmarkStart w:id="79" w:name="_Toc32540"/>
      <w:r>
        <w:rPr>
          <w:rFonts w:hint="eastAsia" w:ascii="黑体" w:hAnsi="宋体" w:eastAsia="黑体"/>
          <w:sz w:val="32"/>
          <w:szCs w:val="32"/>
        </w:rPr>
        <w:t>三、项目实施及管理情况</w:t>
      </w:r>
      <w:bookmarkEnd w:id="79"/>
    </w:p>
    <w:p>
      <w:pPr>
        <w:numPr>
          <w:ilvl w:val="0"/>
          <w:numId w:val="0"/>
        </w:numPr>
        <w:adjustRightInd w:val="0"/>
        <w:snapToGrid w:val="0"/>
        <w:spacing w:line="600" w:lineRule="exact"/>
        <w:ind w:left="1710" w:leftChars="0" w:hanging="990" w:firstLineChars="0"/>
        <w:rPr>
          <w:rFonts w:ascii="仿宋_GB2312" w:hAnsi="宋体" w:eastAsia="仿宋_GB2312"/>
          <w:sz w:val="32"/>
          <w:szCs w:val="32"/>
          <w:lang w:val="zh-CN"/>
        </w:rPr>
      </w:pPr>
      <w:r>
        <w:rPr>
          <w:rFonts w:hint="default" w:ascii="仿宋_GB2312" w:hAnsi="宋体" w:eastAsia="仿宋_GB2312" w:cs="Times New Roman"/>
          <w:kern w:val="2"/>
          <w:sz w:val="32"/>
          <w:szCs w:val="32"/>
          <w:lang w:val="zh-CN" w:eastAsia="zh-CN" w:bidi="ar-SA"/>
        </w:rPr>
        <w:t>（一）</w:t>
      </w:r>
      <w:r>
        <w:rPr>
          <w:rFonts w:hint="eastAsia" w:ascii="楷体_GB2312" w:hAnsi="宋体" w:eastAsia="楷体_GB2312"/>
          <w:b/>
          <w:sz w:val="32"/>
          <w:szCs w:val="32"/>
          <w:lang w:val="zh-CN"/>
        </w:rPr>
        <w:t>项目组织架构及实施流程。</w:t>
      </w:r>
    </w:p>
    <w:p>
      <w:pPr>
        <w:adjustRightInd w:val="0"/>
        <w:snapToGrid w:val="0"/>
        <w:spacing w:line="600" w:lineRule="exact"/>
        <w:ind w:firstLine="800" w:firstLineChars="25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年度，我局积极组织实施了新能源汽车用电专项补贴项目，对项目实施单位（华蓥市蓥华公共交通有限责任公司）所申报的项目情况严格把关，认真落实，严格按照项目管理办法进行项目资金的分配和审核。</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800" w:firstLineChars="250"/>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该项目实施单位严格执行《华蓥市发展和改革局关于明确电动汽车充电服务费有关事项的批复》（华发改〔2018〕113号）的文件精神，按相关法律法规对新能源汽车充电电费及服务费价格进行了公示，对于在其运营平台登记注册的新能源车辆免收充电电费。</w:t>
      </w:r>
    </w:p>
    <w:p>
      <w:pPr>
        <w:numPr>
          <w:ilvl w:val="0"/>
          <w:numId w:val="0"/>
        </w:numPr>
        <w:adjustRightInd w:val="0"/>
        <w:snapToGrid w:val="0"/>
        <w:spacing w:line="600" w:lineRule="exact"/>
        <w:ind w:left="1710" w:leftChars="0" w:hanging="990" w:firstLineChars="0"/>
        <w:rPr>
          <w:rFonts w:ascii="楷体_GB2312" w:hAnsi="宋体" w:eastAsia="楷体_GB2312"/>
          <w:b/>
          <w:sz w:val="32"/>
          <w:szCs w:val="32"/>
          <w:lang w:val="zh-CN"/>
        </w:rPr>
      </w:pPr>
      <w:r>
        <w:rPr>
          <w:rFonts w:hint="default" w:ascii="楷体_GB2312" w:hAnsi="宋体" w:eastAsia="楷体_GB2312" w:cs="Times New Roman"/>
          <w:b/>
          <w:kern w:val="2"/>
          <w:sz w:val="32"/>
          <w:szCs w:val="32"/>
          <w:lang w:val="zh-CN" w:eastAsia="zh-CN" w:bidi="ar-SA"/>
        </w:rPr>
        <w:t>（</w:t>
      </w:r>
      <w:r>
        <w:rPr>
          <w:rFonts w:hint="eastAsia" w:ascii="楷体_GB2312" w:hAnsi="宋体" w:eastAsia="楷体_GB2312" w:cs="Times New Roman"/>
          <w:b/>
          <w:kern w:val="2"/>
          <w:sz w:val="32"/>
          <w:szCs w:val="32"/>
          <w:lang w:val="zh-CN" w:eastAsia="zh-CN" w:bidi="ar-SA"/>
        </w:rPr>
        <w:t>三</w:t>
      </w:r>
      <w:r>
        <w:rPr>
          <w:rFonts w:hint="default" w:ascii="楷体_GB2312" w:hAnsi="宋体" w:eastAsia="楷体_GB2312" w:cs="Times New Roman"/>
          <w:b/>
          <w:kern w:val="2"/>
          <w:sz w:val="32"/>
          <w:szCs w:val="32"/>
          <w:lang w:val="zh-CN" w:eastAsia="zh-CN" w:bidi="ar-SA"/>
        </w:rPr>
        <w:t>）</w:t>
      </w:r>
      <w:r>
        <w:rPr>
          <w:rFonts w:hint="eastAsia" w:ascii="楷体_GB2312" w:hAnsi="宋体" w:eastAsia="楷体_GB2312"/>
          <w:b/>
          <w:sz w:val="32"/>
          <w:szCs w:val="32"/>
          <w:lang w:val="zh-CN"/>
        </w:rPr>
        <w:t>项目监管情况。</w:t>
      </w:r>
    </w:p>
    <w:p>
      <w:pPr>
        <w:adjustRightInd w:val="0"/>
        <w:snapToGrid w:val="0"/>
        <w:spacing w:line="600" w:lineRule="exact"/>
        <w:ind w:firstLine="800" w:firstLineChars="25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为加强项目监管，我局将项目分配到相关股室分别进行管理，严格按照专项资金管理办法的要求，确定支持范围、方式和标准，并对项目实施单位采取上门走访，调查相关资料等方式进行把关，后期结合日常工作现场走访、电话沟通，加强与项目实施单位的联系，实时掌握项目动态，以加强对项目的监督管理。</w:t>
      </w:r>
    </w:p>
    <w:p>
      <w:pPr>
        <w:adjustRightInd w:val="0"/>
        <w:snapToGrid w:val="0"/>
        <w:spacing w:line="600" w:lineRule="exact"/>
        <w:ind w:firstLine="720"/>
        <w:outlineLvl w:val="9"/>
        <w:rPr>
          <w:rFonts w:ascii="仿宋_GB2312" w:hAnsi="宋体" w:eastAsia="仿宋_GB2312"/>
          <w:sz w:val="32"/>
          <w:szCs w:val="32"/>
          <w:lang w:val="zh-CN"/>
        </w:rPr>
      </w:pPr>
      <w:bookmarkStart w:id="80" w:name="_Toc32226"/>
      <w:r>
        <w:rPr>
          <w:rFonts w:hint="eastAsia" w:ascii="黑体" w:hAnsi="宋体" w:eastAsia="黑体"/>
          <w:sz w:val="32"/>
          <w:szCs w:val="32"/>
        </w:rPr>
        <w:t>四、项目绩效情况</w:t>
      </w:r>
      <w:bookmarkEnd w:id="80"/>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1、完成数量情况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截止20</w:t>
      </w:r>
      <w:r>
        <w:rPr>
          <w:rFonts w:hint="eastAsia" w:ascii="仿宋_GB2312" w:hAnsi="宋体" w:eastAsia="仿宋_GB2312"/>
          <w:sz w:val="32"/>
          <w:szCs w:val="32"/>
          <w:lang w:val="zh-CN" w:eastAsia="zh-CN"/>
        </w:rPr>
        <w:t>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w:t>
      </w:r>
      <w:r>
        <w:rPr>
          <w:rFonts w:hint="eastAsia" w:ascii="仿宋_GB2312" w:hAnsi="宋体" w:eastAsia="仿宋_GB2312"/>
          <w:sz w:val="32"/>
          <w:szCs w:val="32"/>
          <w:lang w:val="zh-CN" w:eastAsia="zh-CN"/>
        </w:rPr>
        <w:t>我局新能源汽车用电专项资金完成拨付1</w:t>
      </w:r>
      <w:r>
        <w:rPr>
          <w:rFonts w:hint="eastAsia" w:ascii="仿宋_GB2312" w:hAnsi="宋体" w:eastAsia="仿宋_GB2312"/>
          <w:sz w:val="32"/>
          <w:szCs w:val="32"/>
          <w:lang w:val="en-US" w:eastAsia="zh-CN"/>
        </w:rPr>
        <w:t>40</w:t>
      </w:r>
      <w:r>
        <w:rPr>
          <w:rFonts w:hint="eastAsia" w:ascii="仿宋_GB2312" w:hAnsi="宋体" w:eastAsia="仿宋_GB2312"/>
          <w:sz w:val="32"/>
          <w:szCs w:val="32"/>
          <w:lang w:val="zh-CN" w:eastAsia="zh-CN"/>
        </w:rPr>
        <w:t>万元，实际为我市200辆新能源汽车提供了用电支持，其中出租车100辆，公交车34辆，私家车66辆。</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2、完成质量情况</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截止202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年12月，在项目单位进行充电的新能源车辆均充电成功，未发生过充电不成功现象，无投诉事故发生，顺利保证了我市新能源车辆的正常运行。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3、完成时效情况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截至202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年12月，我局202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年度新能源汽车用电专项补贴项目资金完成拨付</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rPr>
        <w:t>万元，及时支付率100%。</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4、完成成本情况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该项目为补贴资金，按政策标准执行，不考虑未执行到位资金因素，实际节约与计划成本持平。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经济效益：新能源汽车用电专项补贴资金的及时发放极大减轻了项目实施单位的运营压力，对于我市新能源车用电电费补贴有效缓解了新能源汽车用户的经济压力，节约了社会公众出行成本。</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rPr>
        <w:t>2.社会效益：</w:t>
      </w:r>
      <w:r>
        <w:rPr>
          <w:rFonts w:hint="eastAsia" w:ascii="仿宋_GB2312" w:hAnsi="宋体" w:eastAsia="仿宋_GB2312"/>
          <w:sz w:val="32"/>
          <w:szCs w:val="32"/>
          <w:lang w:val="zh-CN" w:eastAsia="zh-CN"/>
        </w:rPr>
        <w:t>本项目成功保障了我市新能源汽车的正常运行，我市新能源公交车与新能源出租车保证了城市公共服务职能，方便了市民出行，提高了市民乘车的舒适度，满足广大市民的出行需求，改善了市民的乘车环境，提高公共交通吸引力，提升了公共交通服务能力和城市形象。</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rPr>
        <w:t>3.生态效益：</w:t>
      </w:r>
      <w:r>
        <w:rPr>
          <w:rFonts w:hint="eastAsia" w:ascii="仿宋_GB2312" w:hAnsi="宋体" w:eastAsia="仿宋_GB2312"/>
          <w:sz w:val="32"/>
          <w:szCs w:val="32"/>
          <w:lang w:val="zh-CN" w:eastAsia="zh-CN"/>
        </w:rPr>
        <w:t>新能源汽车用电专项补贴成功推进了新能源汽车的推广与使用，</w:t>
      </w:r>
      <w:r>
        <w:rPr>
          <w:rFonts w:hint="eastAsia" w:ascii="仿宋_GB2312" w:hAnsi="宋体" w:eastAsia="仿宋_GB2312"/>
          <w:sz w:val="32"/>
          <w:szCs w:val="32"/>
          <w:lang w:val="zh-CN"/>
        </w:rPr>
        <w:t>生态效益：目前我市新能源汽车</w:t>
      </w:r>
      <w:r>
        <w:rPr>
          <w:rFonts w:hint="eastAsia" w:ascii="仿宋_GB2312" w:hAnsi="宋体" w:eastAsia="仿宋_GB2312"/>
          <w:sz w:val="32"/>
          <w:szCs w:val="32"/>
          <w:lang w:val="zh-CN" w:eastAsia="zh-CN"/>
        </w:rPr>
        <w:t>200</w:t>
      </w:r>
      <w:r>
        <w:rPr>
          <w:rFonts w:hint="eastAsia" w:ascii="仿宋_GB2312" w:hAnsi="宋体" w:eastAsia="仿宋_GB2312"/>
          <w:sz w:val="32"/>
          <w:szCs w:val="32"/>
          <w:lang w:val="zh-CN"/>
        </w:rPr>
        <w:t>辆，年节能约</w:t>
      </w:r>
      <w:r>
        <w:rPr>
          <w:rFonts w:hint="eastAsia" w:ascii="仿宋_GB2312" w:hAnsi="宋体" w:eastAsia="仿宋_GB2312"/>
          <w:sz w:val="32"/>
          <w:szCs w:val="32"/>
          <w:lang w:val="zh-CN" w:eastAsia="zh-CN"/>
        </w:rPr>
        <w:t>2809</w:t>
      </w:r>
      <w:r>
        <w:rPr>
          <w:rFonts w:hint="eastAsia" w:ascii="仿宋_GB2312" w:hAnsi="宋体" w:eastAsia="仿宋_GB2312"/>
          <w:sz w:val="32"/>
          <w:szCs w:val="32"/>
          <w:lang w:val="zh-CN"/>
        </w:rPr>
        <w:t>吨标准煤，节能降耗，美化环境，生态效益明显。</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rPr>
        <w:t>4.可持续效益：</w:t>
      </w:r>
      <w:r>
        <w:rPr>
          <w:rFonts w:hint="eastAsia" w:ascii="仿宋_GB2312" w:hAnsi="宋体" w:eastAsia="仿宋_GB2312"/>
          <w:sz w:val="32"/>
          <w:szCs w:val="32"/>
          <w:lang w:val="zh-CN" w:eastAsia="zh-CN"/>
        </w:rPr>
        <w:t>新能源公交车及出租车长期持续投入运营，节约能源，降低废气排放，为引领华蓥市城市建设，服务市民发挥了重要作用，可促进城市可持续发展。</w:t>
      </w:r>
    </w:p>
    <w:p>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zh-CN"/>
        </w:rPr>
        <w:t>5.服务对象满意度：</w:t>
      </w:r>
      <w:r>
        <w:rPr>
          <w:rFonts w:hint="eastAsia" w:ascii="仿宋_GB2312" w:hAnsi="宋体" w:eastAsia="仿宋_GB2312"/>
          <w:sz w:val="32"/>
          <w:szCs w:val="32"/>
          <w:lang w:val="zh-CN" w:eastAsia="zh-CN"/>
        </w:rPr>
        <w:t>通过走访方式对项目实施单位及我市新能源汽车充电用户进行了满意度调查，综合满意度为97%。</w:t>
      </w:r>
    </w:p>
    <w:p>
      <w:pPr>
        <w:adjustRightInd w:val="0"/>
        <w:snapToGrid w:val="0"/>
        <w:spacing w:line="600" w:lineRule="exact"/>
        <w:ind w:firstLine="720"/>
        <w:outlineLvl w:val="9"/>
        <w:rPr>
          <w:rFonts w:ascii="黑体" w:hAnsi="宋体" w:eastAsia="黑体"/>
          <w:sz w:val="32"/>
          <w:szCs w:val="32"/>
        </w:rPr>
      </w:pPr>
      <w:bookmarkStart w:id="81" w:name="_Toc8255"/>
      <w:r>
        <w:rPr>
          <w:rFonts w:hint="eastAsia" w:ascii="黑体" w:hAnsi="宋体" w:eastAsia="黑体"/>
          <w:sz w:val="32"/>
          <w:szCs w:val="32"/>
        </w:rPr>
        <w:t>五、评价结论及建议</w:t>
      </w:r>
      <w:bookmarkEnd w:id="81"/>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该项目单位新能源汽车充电电费本年度实际支付金额</w:t>
      </w:r>
      <w:r>
        <w:rPr>
          <w:rFonts w:hint="eastAsia" w:ascii="仿宋_GB2312" w:hAnsi="宋体" w:eastAsia="仿宋_GB2312"/>
          <w:sz w:val="32"/>
          <w:szCs w:val="32"/>
          <w:lang w:val="en-US" w:eastAsia="zh-CN"/>
        </w:rPr>
        <w:t>317.99</w:t>
      </w:r>
      <w:r>
        <w:rPr>
          <w:rFonts w:hint="eastAsia" w:ascii="仿宋_GB2312" w:hAnsi="宋体" w:eastAsia="仿宋_GB2312"/>
          <w:sz w:val="32"/>
          <w:szCs w:val="32"/>
          <w:lang w:val="zh-CN"/>
        </w:rPr>
        <w:t>万元，计划资金</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eastAsia="zh-CN"/>
        </w:rPr>
        <w:t>万元，实际到位</w:t>
      </w:r>
      <w:r>
        <w:rPr>
          <w:rFonts w:hint="eastAsia" w:ascii="仿宋_GB2312" w:hAnsi="宋体" w:eastAsia="仿宋_GB2312"/>
          <w:sz w:val="32"/>
          <w:szCs w:val="32"/>
          <w:lang w:val="en-US" w:eastAsia="zh-CN"/>
        </w:rPr>
        <w:t>140</w:t>
      </w:r>
      <w:r>
        <w:rPr>
          <w:rFonts w:hint="eastAsia" w:ascii="仿宋_GB2312" w:hAnsi="宋体" w:eastAsia="仿宋_GB2312"/>
          <w:sz w:val="32"/>
          <w:szCs w:val="32"/>
          <w:lang w:val="zh-CN" w:eastAsia="zh-CN"/>
        </w:rPr>
        <w:t>万元，资金到位率不高，一</w:t>
      </w:r>
      <w:r>
        <w:rPr>
          <w:rFonts w:hint="eastAsia" w:ascii="仿宋_GB2312" w:hAnsi="宋体" w:eastAsia="仿宋_GB2312"/>
          <w:sz w:val="32"/>
          <w:szCs w:val="32"/>
          <w:lang w:val="zh-CN"/>
        </w:rPr>
        <w:t>是由于地方财政资金紧张，导致剩余的资金一直未到位。二是由于此项目为先由项目实施单位垫付，待年终清算后据实核拨。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节能与新能源公交车运营补助资金的发放虽极大减轻了公交企业的运营压力，但通过对项目实施单位的走访调查，该单位仍处于亏损状态，主要是因为前期购置新能源成本过高，该项目实施单位的仅能维持基本的日常运营，无力承担前期投入成本。</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建议进一步加大对新能源公交的扶持力度，公共交通是政府提供的基础民生服务，更方便、更舒适是人们对公交行业的普遍需求，这要求我们进一步加大工作力度解决公交发展不充分不平衡的问题，建议进一步对公交事业发展加大扶持力度，支持地方各级政府开展公交全面提升工程，让优质公交服务能力和水平普惠城乡大众。</w:t>
      </w:r>
    </w:p>
    <w:p>
      <w:pPr>
        <w:rPr>
          <w:rFonts w:hint="eastAsia" w:ascii="仿宋_GB2312" w:hAnsi="宋体" w:eastAsia="仿宋_GB2312"/>
          <w:sz w:val="32"/>
          <w:szCs w:val="32"/>
          <w:lang w:val="zh-CN"/>
        </w:rPr>
      </w:pPr>
    </w:p>
    <w:p>
      <w:pPr>
        <w:spacing w:line="600" w:lineRule="exact"/>
        <w:jc w:val="center"/>
        <w:outlineLvl w:val="9"/>
        <w:rPr>
          <w:rFonts w:hint="eastAsia" w:ascii="方正小标宋简体" w:hAnsi="宋体" w:eastAsia="方正小标宋简体"/>
          <w:color w:val="000000"/>
          <w:kern w:val="0"/>
          <w:sz w:val="44"/>
          <w:szCs w:val="44"/>
          <w:highlight w:val="none"/>
        </w:rPr>
      </w:pPr>
      <w:bookmarkStart w:id="82" w:name="_Toc14657"/>
      <w:r>
        <w:rPr>
          <w:rFonts w:hint="eastAsia"/>
          <w:lang w:val="en-US" w:eastAsia="zh-CN"/>
        </w:rPr>
        <w:br w:type="page"/>
      </w:r>
      <w:bookmarkStart w:id="83" w:name="_Toc5448"/>
      <w:r>
        <w:rPr>
          <w:rFonts w:hint="eastAsia" w:ascii="方正小标宋简体" w:hAnsi="宋体" w:eastAsia="方正小标宋简体"/>
          <w:color w:val="000000"/>
          <w:kern w:val="0"/>
          <w:sz w:val="44"/>
          <w:szCs w:val="44"/>
          <w:highlight w:val="none"/>
        </w:rPr>
        <w:t>“8.11”洪灾交通应急项目资金</w:t>
      </w:r>
      <w:bookmarkEnd w:id="83"/>
    </w:p>
    <w:p>
      <w:pPr>
        <w:spacing w:line="600" w:lineRule="exact"/>
        <w:jc w:val="center"/>
        <w:rPr>
          <w:rFonts w:ascii="方正小标宋简体" w:hAnsi="宋体" w:eastAsia="方正小标宋简体"/>
          <w:color w:val="000000"/>
          <w:kern w:val="0"/>
          <w:sz w:val="44"/>
          <w:szCs w:val="44"/>
          <w:highlight w:val="none"/>
          <w:lang w:val="zh-CN"/>
        </w:rPr>
      </w:pPr>
      <w:r>
        <w:rPr>
          <w:rFonts w:ascii="方正小标宋简体" w:hAnsi="宋体" w:eastAsia="方正小标宋简体"/>
          <w:color w:val="000000"/>
          <w:kern w:val="0"/>
          <w:sz w:val="44"/>
          <w:szCs w:val="44"/>
          <w:highlight w:val="none"/>
        </w:rPr>
        <w:t>202</w:t>
      </w:r>
      <w:r>
        <w:rPr>
          <w:rFonts w:hint="eastAsia" w:ascii="方正小标宋简体" w:hAnsi="宋体" w:eastAsia="方正小标宋简体"/>
          <w:color w:val="000000"/>
          <w:kern w:val="0"/>
          <w:sz w:val="44"/>
          <w:szCs w:val="44"/>
          <w:highlight w:val="none"/>
          <w:lang w:val="en-US" w:eastAsia="zh-CN"/>
        </w:rPr>
        <w:t>1</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sz w:val="32"/>
          <w:szCs w:val="32"/>
          <w:highlight w:val="none"/>
          <w:lang w:val="zh-CN"/>
        </w:rPr>
      </w:pPr>
    </w:p>
    <w:p>
      <w:pPr>
        <w:adjustRightInd w:val="0"/>
        <w:snapToGrid w:val="0"/>
        <w:spacing w:line="600" w:lineRule="exact"/>
        <w:ind w:firstLine="720"/>
        <w:outlineLvl w:val="9"/>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82"/>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受强降雨影响，路面出现纵向裂缝、坑槽、松散等病害，给群众安全出行带来很大的影响。</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4</w:t>
      </w:r>
      <w:r>
        <w:rPr>
          <w:rFonts w:hint="eastAsia" w:ascii="仿宋_GB2312" w:hAnsi="宋体" w:eastAsia="仿宋_GB2312"/>
          <w:sz w:val="32"/>
          <w:szCs w:val="32"/>
          <w:highlight w:val="none"/>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对华蓥市18852平方米农村公路进行</w:t>
      </w:r>
      <w:r>
        <w:rPr>
          <w:rFonts w:hint="eastAsia" w:ascii="仿宋_GB2312" w:hAnsi="宋体" w:eastAsia="仿宋_GB2312"/>
          <w:sz w:val="32"/>
          <w:szCs w:val="32"/>
          <w:highlight w:val="none"/>
          <w:lang w:val="en-US" w:eastAsia="zh-CN"/>
        </w:rPr>
        <w:t>修复</w:t>
      </w:r>
      <w:r>
        <w:rPr>
          <w:rFonts w:hint="eastAsia" w:ascii="仿宋_GB2312" w:hAnsi="宋体" w:eastAsia="仿宋_GB2312"/>
          <w:sz w:val="32"/>
          <w:szCs w:val="32"/>
          <w:highlight w:val="none"/>
          <w:lang w:val="zh-CN" w:eastAsia="zh-CN"/>
        </w:rPr>
        <w:t>。</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对华蓥市18852平方米农村公路进行</w:t>
      </w:r>
      <w:r>
        <w:rPr>
          <w:rFonts w:hint="eastAsia" w:ascii="仿宋_GB2312" w:hAnsi="宋体" w:eastAsia="仿宋_GB2312"/>
          <w:sz w:val="32"/>
          <w:szCs w:val="32"/>
          <w:highlight w:val="none"/>
          <w:lang w:val="en-US" w:eastAsia="zh-CN"/>
        </w:rPr>
        <w:t>修复</w:t>
      </w:r>
      <w:r>
        <w:rPr>
          <w:rFonts w:hint="eastAsia" w:ascii="仿宋_GB2312" w:hAnsi="宋体" w:eastAsia="仿宋_GB2312"/>
          <w:sz w:val="32"/>
          <w:szCs w:val="32"/>
          <w:highlight w:val="none"/>
          <w:lang w:val="zh-CN" w:eastAsia="zh-CN"/>
        </w:rPr>
        <w:t>。</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1、自评步骤。</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（1）年初制定工作计划，确定工作目标；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（3）年末对照工作目标，检查完成程度。</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2、自评方法。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highlight w:val="none"/>
        </w:rPr>
      </w:pPr>
      <w:bookmarkStart w:id="84" w:name="_Toc15821"/>
      <w:r>
        <w:rPr>
          <w:rFonts w:hint="eastAsia" w:ascii="黑体" w:hAnsi="宋体" w:eastAsia="黑体"/>
          <w:sz w:val="32"/>
          <w:szCs w:val="32"/>
          <w:highlight w:val="none"/>
        </w:rPr>
        <w:t>二、项目资金申报及使用情况</w:t>
      </w:r>
      <w:bookmarkEnd w:id="84"/>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年华蓥市财政局下达“8.11”洪灾交通应急项目资金</w:t>
      </w:r>
      <w:r>
        <w:rPr>
          <w:rFonts w:hint="eastAsia" w:ascii="仿宋_GB2312" w:hAnsi="宋体" w:eastAsia="仿宋_GB2312"/>
          <w:sz w:val="32"/>
          <w:szCs w:val="32"/>
          <w:highlight w:val="none"/>
          <w:lang w:val="en-US" w:eastAsia="zh-CN"/>
        </w:rPr>
        <w:t>补助</w:t>
      </w:r>
      <w:r>
        <w:rPr>
          <w:rFonts w:hint="eastAsia" w:ascii="仿宋_GB2312" w:hAnsi="宋体" w:eastAsia="仿宋_GB2312"/>
          <w:sz w:val="32"/>
          <w:szCs w:val="32"/>
          <w:highlight w:val="none"/>
          <w:lang w:val="zh-CN"/>
        </w:rPr>
        <w:t>234.88万元，符合资金管理办法等相关规定。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资金预算安排数为234.88万元。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截至评价时点实际到位资金234.88万元，所有资金均按时到位，到位比例100%。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截至评价时点，已拨付资金234.88万元，全部用于了</w:t>
      </w:r>
      <w:r>
        <w:rPr>
          <w:rFonts w:hint="eastAsia" w:ascii="仿宋_GB2312" w:hAnsi="宋体" w:eastAsia="仿宋_GB2312"/>
          <w:sz w:val="32"/>
          <w:szCs w:val="32"/>
          <w:highlight w:val="none"/>
          <w:lang w:val="en-US" w:eastAsia="zh-CN"/>
        </w:rPr>
        <w:t>洪灾水毁修复</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highlight w:val="none"/>
        </w:rPr>
      </w:pPr>
      <w:bookmarkStart w:id="85" w:name="_Toc12721"/>
      <w:r>
        <w:rPr>
          <w:rFonts w:hint="eastAsia" w:ascii="黑体" w:hAnsi="宋体" w:eastAsia="黑体"/>
          <w:sz w:val="32"/>
          <w:szCs w:val="32"/>
          <w:highlight w:val="none"/>
        </w:rPr>
        <w:t>三、项目实施及管理情况</w:t>
      </w:r>
      <w:bookmarkEnd w:id="85"/>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（三）项目监管情况。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highlight w:val="none"/>
          <w:lang w:val="zh-CN"/>
        </w:rPr>
      </w:pPr>
      <w:bookmarkStart w:id="86" w:name="_Toc6299"/>
      <w:r>
        <w:rPr>
          <w:rFonts w:hint="eastAsia" w:ascii="黑体" w:hAnsi="宋体" w:eastAsia="黑体"/>
          <w:sz w:val="32"/>
          <w:szCs w:val="32"/>
          <w:highlight w:val="none"/>
        </w:rPr>
        <w:t>四、项目绩效情况</w:t>
      </w:r>
      <w:bookmarkEnd w:id="86"/>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水毁修复</w:t>
      </w:r>
      <w:r>
        <w:rPr>
          <w:rFonts w:hint="eastAsia" w:ascii="仿宋_GB2312" w:hAnsi="宋体" w:eastAsia="仿宋_GB2312"/>
          <w:sz w:val="32"/>
          <w:szCs w:val="32"/>
          <w:highlight w:val="none"/>
          <w:lang w:val="zh-CN"/>
        </w:rPr>
        <w:t>项目在市委市政府的坚强领导下，较为圆满地完成了各项目标任务：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1、项目数量指标评价。已完成18852平方米农村公路</w:t>
      </w:r>
      <w:r>
        <w:rPr>
          <w:rFonts w:hint="eastAsia" w:ascii="仿宋_GB2312" w:hAnsi="宋体" w:eastAsia="仿宋_GB2312"/>
          <w:sz w:val="32"/>
          <w:szCs w:val="32"/>
          <w:highlight w:val="none"/>
          <w:lang w:val="en-US" w:eastAsia="zh-CN"/>
        </w:rPr>
        <w:t>修复</w:t>
      </w:r>
      <w:r>
        <w:rPr>
          <w:rFonts w:hint="eastAsia" w:ascii="仿宋_GB2312" w:hAnsi="宋体" w:eastAsia="仿宋_GB2312"/>
          <w:sz w:val="32"/>
          <w:szCs w:val="32"/>
          <w:highlight w:val="none"/>
          <w:lang w:val="zh-CN"/>
        </w:rPr>
        <w:t>，占目标任务的100%，已达成数量预期指标。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本项目的实施最大化实现了经济效益、社会效益、生态效益，可持续发展目标，满足群众出行要求，保障了群众生命安全：</w:t>
      </w:r>
    </w:p>
    <w:p>
      <w:pPr>
        <w:numPr>
          <w:ilvl w:val="0"/>
          <w:numId w:val="6"/>
        </w:num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项目实施的</w:t>
      </w:r>
      <w:r>
        <w:rPr>
          <w:rFonts w:hint="eastAsia" w:ascii="仿宋_GB2312" w:hAnsi="宋体" w:eastAsia="仿宋_GB2312"/>
          <w:sz w:val="32"/>
          <w:szCs w:val="32"/>
          <w:highlight w:val="none"/>
          <w:lang w:val="en-US" w:eastAsia="zh-CN"/>
        </w:rPr>
        <w:t>经济、社会</w:t>
      </w:r>
      <w:r>
        <w:rPr>
          <w:rFonts w:hint="eastAsia" w:ascii="仿宋_GB2312" w:hAnsi="宋体" w:eastAsia="仿宋_GB2312"/>
          <w:sz w:val="32"/>
          <w:szCs w:val="32"/>
          <w:highlight w:val="none"/>
          <w:lang w:val="zh-CN"/>
        </w:rPr>
        <w:t>效益分析。整个工程完工后，将为促进区域内各项事业发展，支持改善和保证民生，提供强有力的支撑和保障。</w:t>
      </w:r>
    </w:p>
    <w:p>
      <w:pPr>
        <w:numPr>
          <w:ilvl w:val="0"/>
          <w:numId w:val="0"/>
        </w:num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rPr>
        <w:t>、项目实施的生态效益分析。项目实施过程中按照文明施工要求，加强了环境保护，确保了道路洁美，极大减少了对环境的污染破坏。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rPr>
        <w:t>、项目实施的可持续影响分析。本项目将在设计寿命周期内持续发挥基础设施作用，长效保障人民群众出行便利。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rPr>
        <w:t>、满意度指标完成情况分析。本项目的实施为群众的生产、生活、出行带来了极大的便利，提升了民众出行的幸福感、获得感。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highlight w:val="none"/>
        </w:rPr>
      </w:pPr>
      <w:bookmarkStart w:id="87" w:name="_Toc1670"/>
      <w:r>
        <w:rPr>
          <w:rFonts w:hint="eastAsia" w:ascii="黑体" w:hAnsi="宋体" w:eastAsia="黑体"/>
          <w:sz w:val="32"/>
          <w:szCs w:val="32"/>
          <w:highlight w:val="none"/>
        </w:rPr>
        <w:t>五、评价结论及建议</w:t>
      </w:r>
      <w:bookmarkEnd w:id="87"/>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640" w:firstLineChars="200"/>
        <w:rPr>
          <w:rFonts w:ascii="仿宋_GB2312" w:hAnsi="宋体" w:eastAsia="仿宋_GB2312"/>
          <w:sz w:val="32"/>
          <w:szCs w:val="32"/>
          <w:highlight w:val="none"/>
          <w:bdr w:val="single" w:color="auto" w:sz="4" w:space="0"/>
          <w:lang w:val="zh-CN"/>
        </w:rPr>
      </w:pPr>
      <w:r>
        <w:rPr>
          <w:rFonts w:hint="eastAsia" w:ascii="仿宋_GB2312" w:hAnsi="宋体" w:eastAsia="仿宋_GB2312"/>
          <w:sz w:val="32"/>
          <w:szCs w:val="32"/>
          <w:highlight w:val="none"/>
          <w:lang w:val="en-US" w:eastAsia="zh-CN"/>
        </w:rPr>
        <w:t>水毁修复项目</w:t>
      </w:r>
      <w:r>
        <w:rPr>
          <w:rFonts w:hint="eastAsia" w:ascii="仿宋_GB2312" w:hAnsi="宋体" w:eastAsia="仿宋_GB2312"/>
          <w:sz w:val="32"/>
          <w:szCs w:val="32"/>
          <w:highlight w:val="none"/>
          <w:lang w:val="zh-CN"/>
        </w:rPr>
        <w:t>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640" w:firstLineChars="2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项目实施过程中尚有不足之处，主要是农村村公路养护管理机制还有待进一步完善。</w:t>
      </w:r>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rPr>
          <w:rFonts w:hint="eastAsia"/>
          <w:lang w:val="en-US" w:eastAsia="zh-CN"/>
        </w:rPr>
      </w:pPr>
      <w:r>
        <w:rPr>
          <w:rFonts w:hint="eastAsia" w:ascii="仿宋_GB2312" w:hAnsi="宋体" w:eastAsia="仿宋_GB2312"/>
          <w:sz w:val="32"/>
          <w:szCs w:val="32"/>
          <w:highlight w:val="none"/>
          <w:lang w:val="zh-CN"/>
        </w:rPr>
        <w:t>针对存在的问题，我们将通过制度建设、创新机制、规范管理，进一步完善现有的管理办法、村级公路养护管理机制，形成建设管理一体化工作机制。同时，建议继续加大对农村道路建设养护经费的投入。</w:t>
      </w:r>
    </w:p>
    <w:p>
      <w:pPr>
        <w:spacing w:line="600" w:lineRule="exact"/>
        <w:jc w:val="center"/>
        <w:rPr>
          <w:rFonts w:hint="eastAsia" w:ascii="方正小标宋简体" w:hAnsi="宋体" w:eastAsia="方正小标宋简体"/>
          <w:color w:val="000000"/>
          <w:kern w:val="0"/>
          <w:sz w:val="44"/>
          <w:szCs w:val="44"/>
          <w:highlight w:val="none"/>
          <w:lang w:eastAsia="zh-CN"/>
        </w:rPr>
      </w:pPr>
      <w:r>
        <w:rPr>
          <w:rFonts w:hint="eastAsia"/>
          <w:lang w:val="en-US" w:eastAsia="zh-CN"/>
        </w:rPr>
        <w:br w:type="page"/>
      </w:r>
      <w:r>
        <w:rPr>
          <w:rFonts w:hint="eastAsia" w:ascii="方正小标宋简体" w:hAnsi="宋体" w:eastAsia="方正小标宋简体"/>
          <w:color w:val="000000"/>
          <w:kern w:val="0"/>
          <w:sz w:val="44"/>
          <w:szCs w:val="44"/>
          <w:highlight w:val="none"/>
          <w:lang w:eastAsia="zh-CN"/>
        </w:rPr>
        <w:t>20</w:t>
      </w:r>
      <w:r>
        <w:rPr>
          <w:rFonts w:hint="eastAsia" w:ascii="方正小标宋简体" w:hAnsi="宋体" w:eastAsia="方正小标宋简体"/>
          <w:color w:val="000000"/>
          <w:kern w:val="0"/>
          <w:sz w:val="44"/>
          <w:szCs w:val="44"/>
          <w:highlight w:val="none"/>
          <w:lang w:val="en-US" w:eastAsia="zh-CN"/>
        </w:rPr>
        <w:t>20</w:t>
      </w:r>
      <w:r>
        <w:rPr>
          <w:rFonts w:hint="eastAsia" w:ascii="方正小标宋简体" w:hAnsi="宋体" w:eastAsia="方正小标宋简体"/>
          <w:color w:val="000000"/>
          <w:kern w:val="0"/>
          <w:sz w:val="44"/>
          <w:szCs w:val="44"/>
          <w:highlight w:val="none"/>
          <w:lang w:eastAsia="zh-CN"/>
        </w:rPr>
        <w:t>年“四好农村路”以奖代补资金</w:t>
      </w:r>
    </w:p>
    <w:p>
      <w:pPr>
        <w:spacing w:line="600" w:lineRule="exact"/>
        <w:jc w:val="center"/>
        <w:rPr>
          <w:rFonts w:ascii="方正小标宋简体" w:hAnsi="宋体" w:eastAsia="方正小标宋简体"/>
          <w:color w:val="000000"/>
          <w:kern w:val="0"/>
          <w:sz w:val="44"/>
          <w:szCs w:val="44"/>
          <w:highlight w:val="none"/>
          <w:lang w:val="zh-CN"/>
        </w:rPr>
      </w:pPr>
      <w:r>
        <w:rPr>
          <w:rFonts w:ascii="方正小标宋简体" w:hAnsi="宋体" w:eastAsia="方正小标宋简体"/>
          <w:color w:val="000000"/>
          <w:kern w:val="0"/>
          <w:sz w:val="44"/>
          <w:szCs w:val="44"/>
          <w:highlight w:val="none"/>
        </w:rPr>
        <w:t>202</w:t>
      </w:r>
      <w:r>
        <w:rPr>
          <w:rFonts w:hint="eastAsia" w:ascii="方正小标宋简体" w:hAnsi="宋体" w:eastAsia="方正小标宋简体"/>
          <w:color w:val="000000"/>
          <w:kern w:val="0"/>
          <w:sz w:val="44"/>
          <w:szCs w:val="44"/>
          <w:highlight w:val="none"/>
          <w:lang w:val="en-US" w:eastAsia="zh-CN"/>
        </w:rPr>
        <w:t>1</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sz w:val="32"/>
          <w:szCs w:val="32"/>
          <w:highlight w:val="none"/>
          <w:lang w:val="zh-CN"/>
        </w:rPr>
      </w:pPr>
    </w:p>
    <w:p>
      <w:pPr>
        <w:adjustRightInd w:val="0"/>
        <w:snapToGrid w:val="0"/>
        <w:spacing w:line="600" w:lineRule="exact"/>
        <w:ind w:firstLine="720"/>
        <w:outlineLvl w:val="9"/>
        <w:rPr>
          <w:rFonts w:ascii="黑体" w:hAnsi="宋体" w:eastAsia="黑体"/>
          <w:sz w:val="32"/>
          <w:szCs w:val="32"/>
          <w:highlight w:val="none"/>
          <w:lang w:val="zh-CN"/>
        </w:rPr>
      </w:pPr>
      <w:bookmarkStart w:id="88" w:name="_Toc21884"/>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88"/>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rPr>
        <w:t>本项目的实施旨在通过建设，持续提高农村公路服务水平，丰富农村公路品质内涵，全力营造“畅、安、舒、绿、美”的农村交通环境，全力打造幸福美丽乡村路，为打赢脱贫攻坚战、实施乡村振兴战略和加快农业农村现代化提供强有力的交通运输保障。</w:t>
      </w:r>
      <w:r>
        <w:rPr>
          <w:rFonts w:hint="eastAsia" w:ascii="仿宋_GB2312" w:hAnsi="宋体" w:eastAsia="仿宋_GB2312"/>
          <w:sz w:val="32"/>
          <w:szCs w:val="32"/>
          <w:highlight w:val="none"/>
          <w:lang w:val="en-US" w:eastAsia="zh-CN"/>
        </w:rPr>
        <w:t xml:space="preserve">  </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4</w:t>
      </w:r>
      <w:r>
        <w:rPr>
          <w:rFonts w:hint="eastAsia" w:ascii="仿宋_GB2312" w:hAnsi="宋体" w:eastAsia="仿宋_GB2312"/>
          <w:sz w:val="32"/>
          <w:szCs w:val="32"/>
          <w:highlight w:val="none"/>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对全市12个乡镇街道进行农村公路环境整治。</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对全市12个乡镇街道进行农村公路环境整治。</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1、自评步骤。</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（1）年初制定工作计划，确定工作目标；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（3）年末对照工作目标，检查完成程度。</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2、自评方法。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highlight w:val="none"/>
        </w:rPr>
      </w:pPr>
      <w:bookmarkStart w:id="89" w:name="_Toc23654"/>
      <w:r>
        <w:rPr>
          <w:rFonts w:hint="eastAsia" w:ascii="黑体" w:hAnsi="宋体" w:eastAsia="黑体"/>
          <w:sz w:val="32"/>
          <w:szCs w:val="32"/>
          <w:highlight w:val="none"/>
        </w:rPr>
        <w:t>二、项目资金申报及使用情况</w:t>
      </w:r>
      <w:bookmarkEnd w:id="89"/>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年华蓥市财政局下达2020年“四好农村路”以奖代补资金</w:t>
      </w:r>
      <w:r>
        <w:rPr>
          <w:rFonts w:hint="eastAsia" w:ascii="仿宋_GB2312" w:hAnsi="宋体" w:eastAsia="仿宋_GB2312"/>
          <w:sz w:val="32"/>
          <w:szCs w:val="32"/>
          <w:highlight w:val="none"/>
          <w:lang w:val="en-US" w:eastAsia="zh-CN"/>
        </w:rPr>
        <w:t>补助</w:t>
      </w:r>
      <w:r>
        <w:rPr>
          <w:rFonts w:hint="eastAsia" w:ascii="仿宋_GB2312" w:hAnsi="宋体" w:eastAsia="仿宋_GB2312"/>
          <w:sz w:val="32"/>
          <w:szCs w:val="32"/>
          <w:highlight w:val="none"/>
          <w:lang w:val="zh-CN"/>
        </w:rPr>
        <w:t>230万元，符合资金管理办法等相关规定。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资金预算安排数为230万元。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截至评价时点实际到位资金230万元，所有资金均按时到位，到位比例100%。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截至评价时点，已拨付资金230万元，全部用于了</w:t>
      </w:r>
      <w:r>
        <w:rPr>
          <w:rFonts w:hint="eastAsia" w:ascii="仿宋_GB2312" w:hAnsi="宋体" w:eastAsia="仿宋_GB2312"/>
          <w:sz w:val="32"/>
          <w:szCs w:val="32"/>
          <w:highlight w:val="none"/>
          <w:lang w:val="en-US" w:eastAsia="zh-CN"/>
        </w:rPr>
        <w:t>农村公路环境整治建设</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highlight w:val="none"/>
        </w:rPr>
      </w:pPr>
      <w:bookmarkStart w:id="90" w:name="_Toc29301"/>
      <w:r>
        <w:rPr>
          <w:rFonts w:hint="eastAsia" w:ascii="黑体" w:hAnsi="宋体" w:eastAsia="黑体"/>
          <w:sz w:val="32"/>
          <w:szCs w:val="32"/>
          <w:highlight w:val="none"/>
        </w:rPr>
        <w:t>三、项目实施及管理情况</w:t>
      </w:r>
      <w:bookmarkEnd w:id="90"/>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（三）项目监管情况。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highlight w:val="none"/>
          <w:lang w:val="zh-CN"/>
        </w:rPr>
      </w:pPr>
      <w:bookmarkStart w:id="91" w:name="_Toc23889"/>
      <w:r>
        <w:rPr>
          <w:rFonts w:hint="eastAsia" w:ascii="黑体" w:hAnsi="宋体" w:eastAsia="黑体"/>
          <w:sz w:val="32"/>
          <w:szCs w:val="32"/>
          <w:highlight w:val="none"/>
        </w:rPr>
        <w:t>四、项目绩效情况</w:t>
      </w:r>
      <w:bookmarkEnd w:id="91"/>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农村公路环境整治项目</w:t>
      </w:r>
      <w:r>
        <w:rPr>
          <w:rFonts w:hint="eastAsia" w:ascii="仿宋_GB2312" w:hAnsi="宋体" w:eastAsia="仿宋_GB2312"/>
          <w:sz w:val="32"/>
          <w:szCs w:val="32"/>
          <w:highlight w:val="none"/>
          <w:lang w:val="zh-CN"/>
        </w:rPr>
        <w:t>在市委市政府的坚强领导下，较为圆满地完成了各项目标任务：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1、项目数量指标评价。已完成全市12个乡镇街道进行农村公路环境整治</w:t>
      </w:r>
      <w:r>
        <w:rPr>
          <w:rFonts w:hint="eastAsia" w:ascii="仿宋_GB2312" w:hAnsi="宋体" w:eastAsia="仿宋_GB2312"/>
          <w:sz w:val="32"/>
          <w:szCs w:val="32"/>
          <w:highlight w:val="none"/>
          <w:lang w:val="en-US" w:eastAsia="zh-CN"/>
        </w:rPr>
        <w:t>建设</w:t>
      </w:r>
      <w:r>
        <w:rPr>
          <w:rFonts w:hint="eastAsia" w:ascii="仿宋_GB2312" w:hAnsi="宋体" w:eastAsia="仿宋_GB2312"/>
          <w:sz w:val="32"/>
          <w:szCs w:val="32"/>
          <w:highlight w:val="none"/>
          <w:lang w:val="zh-CN"/>
        </w:rPr>
        <w:t>，占目标任务的100%，已达成数量预期指标。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本项目的实施最大化实现了经济效益、社会效益、生态效益，可持续发展目标，满足群众出行要求，保障了群众生命安全：</w:t>
      </w:r>
    </w:p>
    <w:p>
      <w:pPr>
        <w:numPr>
          <w:ilvl w:val="0"/>
          <w:numId w:val="6"/>
        </w:num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项目实施的</w:t>
      </w:r>
      <w:r>
        <w:rPr>
          <w:rFonts w:hint="eastAsia" w:ascii="仿宋_GB2312" w:hAnsi="宋体" w:eastAsia="仿宋_GB2312"/>
          <w:sz w:val="32"/>
          <w:szCs w:val="32"/>
          <w:highlight w:val="none"/>
          <w:lang w:val="en-US" w:eastAsia="zh-CN"/>
        </w:rPr>
        <w:t>经济、社会</w:t>
      </w:r>
      <w:r>
        <w:rPr>
          <w:rFonts w:hint="eastAsia" w:ascii="仿宋_GB2312" w:hAnsi="宋体" w:eastAsia="仿宋_GB2312"/>
          <w:sz w:val="32"/>
          <w:szCs w:val="32"/>
          <w:highlight w:val="none"/>
          <w:lang w:val="zh-CN"/>
        </w:rPr>
        <w:t>效益分析。</w:t>
      </w:r>
      <w:r>
        <w:rPr>
          <w:rFonts w:hint="eastAsia" w:ascii="仿宋_GB2312" w:hAnsi="宋体" w:eastAsia="仿宋_GB2312"/>
          <w:sz w:val="32"/>
          <w:szCs w:val="32"/>
          <w:lang w:val="zh-CN"/>
        </w:rPr>
        <w:t>随着农村公路网络的进一步完善，农村客货运输也将进一步加强，尤其是城乡客运会随着农村公路通达深度的提高而逐步延伸，将为当地百姓带来人流、物流、信息流，使林果业、农牧产品尽快得到充分的开发利用，促进了农业产业结构的优化调整。</w:t>
      </w:r>
    </w:p>
    <w:p>
      <w:pPr>
        <w:numPr>
          <w:ilvl w:val="0"/>
          <w:numId w:val="0"/>
        </w:num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rPr>
        <w:t>、项目实施的生态效益分析。项目实施过程中按照文明施工要求，加强了环境保护，确保了道路洁美，极大减少了对环境的污染破坏。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rPr>
        <w:t>、项目实施的可持续影响分析。本项目将在设计寿命周期内持续发挥基础设施作用，长效保障人民群众出行便利。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rPr>
        <w:t>、满意度指标完成情况分析。本项目的实施为群众的生产、生活、出行带来了极大的便利，提升了民众出行的幸福感、获得感。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highlight w:val="none"/>
        </w:rPr>
      </w:pPr>
      <w:bookmarkStart w:id="92" w:name="_Toc19792"/>
      <w:r>
        <w:rPr>
          <w:rFonts w:hint="eastAsia" w:ascii="黑体" w:hAnsi="宋体" w:eastAsia="黑体"/>
          <w:sz w:val="32"/>
          <w:szCs w:val="32"/>
          <w:highlight w:val="none"/>
        </w:rPr>
        <w:t>五、评价结论及建议</w:t>
      </w:r>
      <w:bookmarkEnd w:id="92"/>
    </w:p>
    <w:p>
      <w:pPr>
        <w:adjustRightInd w:val="0"/>
        <w:snapToGrid w:val="0"/>
        <w:spacing w:line="600" w:lineRule="exact"/>
        <w:ind w:firstLine="640" w:firstLineChars="200"/>
        <w:rPr>
          <w:rFonts w:ascii="仿宋_GB2312" w:hAnsi="宋体" w:eastAsia="仿宋_GB2312"/>
          <w:sz w:val="32"/>
          <w:szCs w:val="32"/>
          <w:highlight w:val="none"/>
          <w:bdr w:val="single" w:color="auto" w:sz="4" w:space="0"/>
          <w:lang w:val="zh-CN"/>
        </w:rPr>
      </w:pPr>
      <w:r>
        <w:rPr>
          <w:rFonts w:hint="eastAsia" w:ascii="仿宋_GB2312" w:hAnsi="宋体" w:eastAsia="仿宋_GB2312"/>
          <w:sz w:val="32"/>
          <w:szCs w:val="32"/>
          <w:highlight w:val="none"/>
          <w:lang w:val="en-US" w:eastAsia="zh-CN"/>
        </w:rPr>
        <w:t>农村公路环境整治项目</w:t>
      </w:r>
      <w:r>
        <w:rPr>
          <w:rFonts w:hint="eastAsia" w:ascii="仿宋_GB2312" w:hAnsi="宋体" w:eastAsia="仿宋_GB2312"/>
          <w:sz w:val="32"/>
          <w:szCs w:val="32"/>
          <w:highlight w:val="none"/>
          <w:lang w:val="zh-CN"/>
        </w:rPr>
        <w:t>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项目实施过程中尚有不足之处，主要是农村公路养护管理机制还有待进一步完善。</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针对存在的问题，我们将通过制度建设、创新机制、规范管理，进一步完善现有的管理办法、村级公路养护管理机制，形成建设管理一体化工作机制。同时，建议继续加大对农村道路建设养护经费的投入</w:t>
      </w:r>
    </w:p>
    <w:p>
      <w:pPr>
        <w:rPr>
          <w:rFonts w:hint="eastAsia"/>
          <w:lang w:val="en-US" w:eastAsia="zh-CN"/>
        </w:rPr>
      </w:pPr>
    </w:p>
    <w:p>
      <w:pPr>
        <w:rPr>
          <w:rFonts w:hint="eastAsia"/>
          <w:lang w:val="en-US" w:eastAsia="zh-CN"/>
        </w:rPr>
      </w:pPr>
      <w:r>
        <w:rPr>
          <w:rFonts w:hint="eastAsia"/>
          <w:lang w:val="en-US" w:eastAsia="zh-CN"/>
        </w:rPr>
        <w:br w:type="page"/>
      </w:r>
    </w:p>
    <w:p>
      <w:pPr>
        <w:spacing w:line="600" w:lineRule="exact"/>
        <w:jc w:val="center"/>
        <w:outlineLvl w:val="9"/>
        <w:rPr>
          <w:rFonts w:ascii="方正小标宋简体" w:hAnsi="宋体" w:eastAsia="方正小标宋简体"/>
          <w:color w:val="000000"/>
          <w:kern w:val="0"/>
          <w:sz w:val="44"/>
          <w:szCs w:val="44"/>
          <w:lang w:val="zh-CN"/>
        </w:rPr>
      </w:pPr>
      <w:bookmarkStart w:id="93" w:name="_Toc1167"/>
      <w:r>
        <w:rPr>
          <w:rFonts w:hint="eastAsia" w:ascii="方正小标宋简体" w:hAnsi="宋体" w:eastAsia="方正小标宋简体"/>
          <w:color w:val="000000"/>
          <w:kern w:val="0"/>
          <w:sz w:val="44"/>
          <w:szCs w:val="44"/>
        </w:rPr>
        <w:t>养护和应急保通中心养护管理站建设项目</w:t>
      </w:r>
      <w:bookmarkEnd w:id="93"/>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outlineLvl w:val="9"/>
        <w:rPr>
          <w:rFonts w:ascii="黑体" w:hAnsi="宋体" w:eastAsia="黑体"/>
          <w:sz w:val="32"/>
          <w:szCs w:val="32"/>
          <w:lang w:val="zh-CN"/>
        </w:rPr>
      </w:pPr>
      <w:bookmarkStart w:id="94" w:name="_Toc15950"/>
      <w:r>
        <w:rPr>
          <w:rFonts w:hint="eastAsia" w:ascii="黑体" w:hAnsi="宋体" w:eastAsia="黑体"/>
          <w:sz w:val="32"/>
          <w:szCs w:val="32"/>
        </w:rPr>
        <w:t>一、</w:t>
      </w:r>
      <w:r>
        <w:rPr>
          <w:rFonts w:hint="eastAsia" w:ascii="黑体" w:hAnsi="宋体" w:eastAsia="黑体"/>
          <w:sz w:val="32"/>
          <w:szCs w:val="32"/>
          <w:lang w:val="zh-CN"/>
        </w:rPr>
        <w:t>项目概况</w:t>
      </w:r>
      <w:bookmarkEnd w:id="94"/>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1.项目简介</w:t>
      </w:r>
    </w:p>
    <w:p>
      <w:pPr>
        <w:adjustRightInd w:val="0"/>
        <w:snapToGrid w:val="0"/>
        <w:spacing w:line="600" w:lineRule="exact"/>
        <w:ind w:firstLine="720"/>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新建养护和应急保通中心养护管理站1个，项目占地12332.68平方米，总建筑面积2464.09平方米。</w:t>
      </w:r>
    </w:p>
    <w:p>
      <w:pPr>
        <w:numPr>
          <w:ilvl w:val="0"/>
          <w:numId w:val="7"/>
        </w:num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本项目的实施旨在通过建设，持续提高全市境内国省干线公路预防性养护、公路大中修维护工程、桥梁经常、定期检查及中小修维护、公路交通应急战备保障、应急保障服务工作</w:t>
      </w:r>
      <w:r>
        <w:rPr>
          <w:rFonts w:hint="eastAsia" w:ascii="仿宋_GB2312" w:hAnsi="宋体" w:eastAsia="仿宋_GB2312"/>
          <w:sz w:val="32"/>
          <w:szCs w:val="32"/>
          <w:highlight w:val="none"/>
          <w:lang w:val="en-US" w:eastAsia="zh-CN"/>
        </w:rPr>
        <w:t>的能力</w:t>
      </w:r>
      <w:r>
        <w:rPr>
          <w:rFonts w:hint="eastAsia" w:ascii="仿宋_GB2312" w:hAnsi="宋体" w:eastAsia="仿宋_GB2312"/>
          <w:sz w:val="32"/>
          <w:szCs w:val="32"/>
          <w:highlight w:val="none"/>
          <w:lang w:val="zh-CN"/>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我局根据项目单位提供的资金申报请示等相关资料在预算范围内向市财政局进行申请，由市财政局统一支付。再通过局党组会研究决定是否将资金下拨给项目单位。</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cs="Times New Roman"/>
          <w:kern w:val="2"/>
          <w:sz w:val="32"/>
          <w:szCs w:val="32"/>
          <w:highlight w:val="none"/>
          <w:lang w:val="en-US" w:eastAsia="zh-CN" w:bidi="ar-SA"/>
        </w:rPr>
        <w:t>新建养护和应急保通中心养护管理站1个</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．项目的具体绩效目标。</w:t>
      </w:r>
      <w:r>
        <w:rPr>
          <w:rFonts w:hint="eastAsia" w:ascii="仿宋_GB2312" w:hAnsi="宋体" w:eastAsia="仿宋_GB2312" w:cs="Times New Roman"/>
          <w:kern w:val="2"/>
          <w:sz w:val="32"/>
          <w:szCs w:val="32"/>
          <w:highlight w:val="none"/>
          <w:lang w:val="en-US" w:eastAsia="zh-CN" w:bidi="ar-SA"/>
        </w:rPr>
        <w:t>新建养护和应急保通中心养护管理站1个</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2019年申报内容与实际相符，申报目标合理可行。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采用了绩效评分法。</w:t>
      </w:r>
    </w:p>
    <w:p>
      <w:pPr>
        <w:adjustRightInd w:val="0"/>
        <w:snapToGrid w:val="0"/>
        <w:spacing w:line="600" w:lineRule="exact"/>
        <w:ind w:firstLine="720"/>
        <w:outlineLvl w:val="9"/>
        <w:rPr>
          <w:rFonts w:ascii="黑体" w:hAnsi="宋体" w:eastAsia="黑体"/>
          <w:sz w:val="32"/>
          <w:szCs w:val="32"/>
        </w:rPr>
      </w:pPr>
      <w:bookmarkStart w:id="95" w:name="_Toc21258"/>
      <w:r>
        <w:rPr>
          <w:rFonts w:hint="eastAsia" w:ascii="黑体" w:hAnsi="宋体" w:eastAsia="黑体"/>
          <w:sz w:val="32"/>
          <w:szCs w:val="32"/>
        </w:rPr>
        <w:t>二、项目资金申报及使用情况</w:t>
      </w:r>
      <w:bookmarkEnd w:id="95"/>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年度申报养护和应急保通中心养护管理站建设项目资金</w:t>
      </w:r>
      <w:r>
        <w:rPr>
          <w:rFonts w:hint="eastAsia" w:ascii="仿宋_GB2312" w:hAnsi="宋体" w:eastAsia="仿宋_GB2312"/>
          <w:sz w:val="32"/>
          <w:szCs w:val="32"/>
          <w:lang w:val="en-US" w:eastAsia="zh-CN"/>
        </w:rPr>
        <w:t>50</w:t>
      </w:r>
      <w:r>
        <w:rPr>
          <w:rFonts w:hint="eastAsia" w:ascii="仿宋_GB2312" w:hAnsi="宋体" w:eastAsia="仿宋_GB2312"/>
          <w:sz w:val="32"/>
          <w:szCs w:val="32"/>
          <w:lang w:val="zh-CN"/>
        </w:rPr>
        <w:t>0万元，批复资金</w:t>
      </w:r>
      <w:r>
        <w:rPr>
          <w:rFonts w:hint="eastAsia" w:ascii="仿宋_GB2312" w:hAnsi="宋体" w:eastAsia="仿宋_GB2312"/>
          <w:sz w:val="32"/>
          <w:szCs w:val="32"/>
          <w:lang w:val="en-US" w:eastAsia="zh-CN"/>
        </w:rPr>
        <w:t>50</w:t>
      </w:r>
      <w:r>
        <w:rPr>
          <w:rFonts w:hint="eastAsia" w:ascii="仿宋_GB2312" w:hAnsi="宋体" w:eastAsia="仿宋_GB2312"/>
          <w:sz w:val="32"/>
          <w:szCs w:val="32"/>
          <w:lang w:val="zh-CN"/>
        </w:rPr>
        <w:t>0万元，年中未调整预算。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w:t>
      </w:r>
      <w:r>
        <w:rPr>
          <w:rFonts w:hint="eastAsia" w:ascii="仿宋_GB2312" w:hAnsi="宋体" w:eastAsia="仿宋_GB2312"/>
          <w:sz w:val="32"/>
          <w:szCs w:val="32"/>
          <w:lang w:val="zh-CN" w:eastAsia="zh-CN"/>
        </w:rPr>
        <w:t>养护和应急保通中心养护管理站建设</w:t>
      </w:r>
      <w:r>
        <w:rPr>
          <w:rFonts w:hint="eastAsia" w:ascii="仿宋_GB2312" w:hAnsi="宋体" w:eastAsia="仿宋_GB2312"/>
          <w:sz w:val="32"/>
          <w:szCs w:val="32"/>
          <w:lang w:val="zh-CN"/>
        </w:rPr>
        <w:t>项目资金计划</w:t>
      </w:r>
      <w:r>
        <w:rPr>
          <w:rFonts w:hint="eastAsia" w:ascii="仿宋_GB2312" w:hAnsi="宋体" w:eastAsia="仿宋_GB2312"/>
          <w:sz w:val="32"/>
          <w:szCs w:val="32"/>
          <w:lang w:val="en-US" w:eastAsia="zh-CN"/>
        </w:rPr>
        <w:t>50</w:t>
      </w:r>
      <w:r>
        <w:rPr>
          <w:rFonts w:hint="eastAsia" w:ascii="仿宋_GB2312" w:hAnsi="宋体" w:eastAsia="仿宋_GB2312"/>
          <w:sz w:val="32"/>
          <w:szCs w:val="32"/>
          <w:lang w:val="zh-CN"/>
        </w:rPr>
        <w:t>0万元，全为市财政资金。</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w:t>
      </w:r>
      <w:r>
        <w:rPr>
          <w:rFonts w:hint="eastAsia" w:ascii="仿宋_GB2312" w:hAnsi="宋体" w:eastAsia="仿宋_GB2312"/>
          <w:sz w:val="32"/>
          <w:szCs w:val="32"/>
          <w:lang w:val="zh-CN" w:eastAsia="zh-CN"/>
        </w:rPr>
        <w:t>养护和应急保通中心养护管理站建设</w:t>
      </w:r>
      <w:r>
        <w:rPr>
          <w:rFonts w:hint="eastAsia" w:ascii="仿宋_GB2312" w:hAnsi="宋体" w:eastAsia="仿宋_GB2312"/>
          <w:sz w:val="32"/>
          <w:szCs w:val="32"/>
          <w:lang w:val="zh-CN"/>
        </w:rPr>
        <w:t>项目资金到位</w:t>
      </w:r>
      <w:r>
        <w:rPr>
          <w:rFonts w:hint="eastAsia" w:ascii="仿宋_GB2312" w:hAnsi="宋体" w:eastAsia="仿宋_GB2312"/>
          <w:sz w:val="32"/>
          <w:szCs w:val="32"/>
          <w:lang w:val="en-US" w:eastAsia="zh-CN"/>
        </w:rPr>
        <w:t>50</w:t>
      </w:r>
      <w:r>
        <w:rPr>
          <w:rFonts w:hint="eastAsia" w:ascii="仿宋_GB2312" w:hAnsi="宋体" w:eastAsia="仿宋_GB2312"/>
          <w:sz w:val="32"/>
          <w:szCs w:val="32"/>
          <w:lang w:val="zh-CN"/>
        </w:rPr>
        <w:t>0万元，资金到位率100%，到位及时率100%。</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年12月，</w:t>
      </w:r>
      <w:r>
        <w:rPr>
          <w:rFonts w:hint="eastAsia" w:ascii="仿宋_GB2312" w:hAnsi="宋体" w:eastAsia="仿宋_GB2312"/>
          <w:sz w:val="32"/>
          <w:szCs w:val="32"/>
          <w:lang w:val="zh-CN" w:eastAsia="zh-CN"/>
        </w:rPr>
        <w:t>养护和应急保通中心养护管理站建设</w:t>
      </w:r>
      <w:r>
        <w:rPr>
          <w:rFonts w:hint="eastAsia" w:ascii="仿宋_GB2312" w:hAnsi="宋体" w:eastAsia="仿宋_GB2312"/>
          <w:sz w:val="32"/>
          <w:szCs w:val="32"/>
          <w:lang w:val="zh-CN"/>
        </w:rPr>
        <w:t>项目资金</w:t>
      </w:r>
      <w:r>
        <w:rPr>
          <w:rFonts w:hint="eastAsia" w:ascii="仿宋_GB2312" w:hAnsi="宋体" w:eastAsia="仿宋_GB2312"/>
          <w:sz w:val="32"/>
          <w:szCs w:val="32"/>
          <w:lang w:val="en-US" w:eastAsia="zh-CN"/>
        </w:rPr>
        <w:t>50</w:t>
      </w:r>
      <w:r>
        <w:rPr>
          <w:rFonts w:hint="eastAsia" w:ascii="仿宋_GB2312" w:hAnsi="宋体" w:eastAsia="仿宋_GB2312"/>
          <w:sz w:val="32"/>
          <w:szCs w:val="32"/>
          <w:lang w:val="zh-CN"/>
        </w:rPr>
        <w:t>0万元，全部用于</w:t>
      </w:r>
      <w:r>
        <w:rPr>
          <w:rFonts w:hint="eastAsia" w:ascii="仿宋_GB2312" w:hAnsi="宋体" w:eastAsia="仿宋_GB2312"/>
          <w:sz w:val="32"/>
          <w:szCs w:val="32"/>
          <w:lang w:val="zh-CN" w:eastAsia="zh-CN"/>
        </w:rPr>
        <w:t>养护和应急保通中心养护管理站建设</w:t>
      </w:r>
      <w:r>
        <w:rPr>
          <w:rFonts w:hint="eastAsia" w:ascii="仿宋_GB2312" w:hAnsi="宋体" w:eastAsia="仿宋_GB2312"/>
          <w:sz w:val="32"/>
          <w:szCs w:val="32"/>
          <w:lang w:val="zh-CN"/>
        </w:rPr>
        <w:t>项目。资金管理及使用规范、科学、合理，与预算相符。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认真按照州市委、市人民政府制定的目标管理执行，实行统一管理、专款专用、严格程序、合理安排，无违规违纪问题。</w:t>
      </w:r>
    </w:p>
    <w:p>
      <w:pPr>
        <w:adjustRightInd w:val="0"/>
        <w:snapToGrid w:val="0"/>
        <w:spacing w:line="600" w:lineRule="exact"/>
        <w:ind w:firstLine="720"/>
        <w:outlineLvl w:val="9"/>
        <w:rPr>
          <w:rFonts w:ascii="黑体" w:hAnsi="宋体" w:eastAsia="黑体"/>
          <w:sz w:val="32"/>
          <w:szCs w:val="32"/>
        </w:rPr>
      </w:pPr>
      <w:bookmarkStart w:id="96" w:name="_Toc28061"/>
      <w:r>
        <w:rPr>
          <w:rFonts w:hint="eastAsia" w:ascii="黑体" w:hAnsi="宋体" w:eastAsia="黑体"/>
          <w:sz w:val="32"/>
          <w:szCs w:val="32"/>
        </w:rPr>
        <w:t>三、项目实施及管理情况</w:t>
      </w:r>
      <w:bookmarkEnd w:id="96"/>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lang w:val="zh-CN"/>
        </w:rPr>
        <w:t>（一）</w:t>
      </w:r>
      <w:r>
        <w:rPr>
          <w:rFonts w:hint="eastAsia" w:ascii="楷体_GB2312" w:hAnsi="宋体" w:eastAsia="楷体_GB2312"/>
          <w:b/>
          <w:sz w:val="32"/>
          <w:szCs w:val="32"/>
          <w:highlight w:val="none"/>
          <w:lang w:val="zh-CN"/>
        </w:rPr>
        <w:t>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年度，我局积极组织实施了</w:t>
      </w:r>
      <w:r>
        <w:rPr>
          <w:rFonts w:hint="eastAsia" w:ascii="仿宋_GB2312" w:hAnsi="宋体" w:eastAsia="仿宋_GB2312"/>
          <w:sz w:val="32"/>
          <w:szCs w:val="32"/>
          <w:lang w:val="zh-CN" w:eastAsia="zh-CN"/>
        </w:rPr>
        <w:t>养护和应急保通中心养护管理站建设</w:t>
      </w:r>
      <w:r>
        <w:rPr>
          <w:rFonts w:hint="eastAsia" w:ascii="仿宋_GB2312" w:hAnsi="宋体" w:eastAsia="仿宋_GB2312"/>
          <w:sz w:val="32"/>
          <w:szCs w:val="32"/>
          <w:lang w:val="zh-CN"/>
        </w:rPr>
        <w:t>项目，对项目实施单位所申报的项目情况严格把关，认真落实，严格按照项目管理办法进行项目资金的分配和审核。</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楷体_GB2312" w:hAnsi="宋体" w:eastAsia="楷体_GB2312"/>
          <w:b/>
          <w:sz w:val="32"/>
          <w:szCs w:val="32"/>
          <w:highlight w:val="none"/>
          <w:lang w:val="zh-CN"/>
        </w:rPr>
        <w:t>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该项目实施单位严格按相关法律法规进行，主要是保障</w:t>
      </w:r>
      <w:r>
        <w:rPr>
          <w:rFonts w:hint="eastAsia" w:ascii="仿宋_GB2312" w:hAnsi="宋体" w:eastAsia="仿宋_GB2312"/>
          <w:sz w:val="32"/>
          <w:szCs w:val="32"/>
          <w:lang w:val="zh-CN" w:eastAsia="zh-CN"/>
        </w:rPr>
        <w:t>养护和应急保通中心养护管理站建设</w:t>
      </w:r>
      <w:r>
        <w:rPr>
          <w:rFonts w:hint="eastAsia" w:ascii="仿宋_GB2312" w:hAnsi="宋体" w:eastAsia="仿宋_GB2312"/>
          <w:sz w:val="32"/>
          <w:szCs w:val="32"/>
          <w:lang w:val="zh-CN"/>
        </w:rPr>
        <w:t>项目工作顺利开展。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加强项目监管，我局将项目分配到相关股室分别进行管理，严格按照专项资金管理办法的要求，确定支持范围、方式和标准，并对项目实施单位采取上门走访，调查相关资料等方式进行把关，后期结合日常工作现场走访、电话沟通，加强与项目实施单位的联系，实时掌握项目动态，以加强对项目的监督管理。</w:t>
      </w:r>
    </w:p>
    <w:p>
      <w:pPr>
        <w:adjustRightInd w:val="0"/>
        <w:snapToGrid w:val="0"/>
        <w:spacing w:line="580" w:lineRule="exact"/>
        <w:ind w:firstLine="720"/>
        <w:outlineLvl w:val="9"/>
        <w:rPr>
          <w:rFonts w:ascii="仿宋_GB2312" w:hAnsi="宋体" w:eastAsia="仿宋_GB2312"/>
          <w:sz w:val="32"/>
          <w:szCs w:val="32"/>
          <w:lang w:val="zh-CN"/>
        </w:rPr>
      </w:pPr>
      <w:bookmarkStart w:id="97" w:name="_Toc30590"/>
      <w:r>
        <w:rPr>
          <w:rFonts w:hint="eastAsia" w:ascii="黑体" w:hAnsi="宋体" w:eastAsia="黑体"/>
          <w:sz w:val="32"/>
          <w:szCs w:val="32"/>
        </w:rPr>
        <w:t>四、项目绩效情况</w:t>
      </w:r>
      <w:bookmarkEnd w:id="97"/>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580" w:lineRule="exact"/>
        <w:ind w:firstLine="720"/>
        <w:rPr>
          <w:rFonts w:hint="default" w:ascii="楷体_GB2312" w:hAnsi="宋体" w:eastAsia="楷体_GB2312"/>
          <w:b w:val="0"/>
          <w:bCs/>
          <w:sz w:val="32"/>
          <w:szCs w:val="32"/>
          <w:highlight w:val="none"/>
          <w:lang w:val="en-US" w:eastAsia="zh-CN"/>
        </w:rPr>
      </w:pPr>
      <w:r>
        <w:rPr>
          <w:rFonts w:hint="eastAsia" w:ascii="楷体_GB2312" w:hAnsi="宋体" w:eastAsia="楷体_GB2312"/>
          <w:b w:val="0"/>
          <w:bCs/>
          <w:sz w:val="32"/>
          <w:szCs w:val="32"/>
          <w:highlight w:val="none"/>
          <w:lang w:val="en-US" w:eastAsia="zh-CN"/>
        </w:rPr>
        <w:t>已建成公路</w:t>
      </w:r>
      <w:r>
        <w:rPr>
          <w:rFonts w:hint="eastAsia" w:ascii="仿宋_GB2312" w:hAnsi="宋体" w:eastAsia="仿宋_GB2312" w:cs="Times New Roman"/>
          <w:b w:val="0"/>
          <w:bCs/>
          <w:kern w:val="2"/>
          <w:sz w:val="32"/>
          <w:szCs w:val="32"/>
          <w:highlight w:val="none"/>
          <w:lang w:val="en-US" w:eastAsia="zh-CN" w:bidi="ar-SA"/>
        </w:rPr>
        <w:t>养护和应急保通中心养护管理站1个</w:t>
      </w:r>
    </w:p>
    <w:p>
      <w:pPr>
        <w:numPr>
          <w:ilvl w:val="0"/>
          <w:numId w:val="8"/>
        </w:numPr>
        <w:adjustRightInd w:val="0"/>
        <w:snapToGrid w:val="0"/>
        <w:spacing w:line="580" w:lineRule="exact"/>
        <w:ind w:firstLine="720"/>
        <w:rPr>
          <w:rFonts w:hint="eastAsia"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项目效益情况。</w:t>
      </w:r>
    </w:p>
    <w:p>
      <w:pPr>
        <w:pStyle w:val="8"/>
        <w:numPr>
          <w:ilvl w:val="0"/>
          <w:numId w:val="0"/>
        </w:numPr>
        <w:ind w:firstLine="640" w:firstLineChars="200"/>
        <w:rPr>
          <w:rFonts w:hint="default" w:ascii="楷体_GB2312" w:hAnsi="宋体" w:eastAsia="楷体_GB2312" w:cs="Times New Roman"/>
          <w:b w:val="0"/>
          <w:bCs/>
          <w:kern w:val="2"/>
          <w:sz w:val="32"/>
          <w:szCs w:val="32"/>
          <w:highlight w:val="none"/>
          <w:lang w:val="en-US" w:eastAsia="zh-CN" w:bidi="ar-SA"/>
        </w:rPr>
      </w:pPr>
      <w:r>
        <w:rPr>
          <w:rFonts w:hint="eastAsia" w:ascii="楷体_GB2312" w:hAnsi="宋体" w:eastAsia="楷体_GB2312" w:cs="Times New Roman"/>
          <w:b w:val="0"/>
          <w:bCs/>
          <w:kern w:val="2"/>
          <w:sz w:val="32"/>
          <w:szCs w:val="32"/>
          <w:highlight w:val="none"/>
          <w:lang w:val="zh-CN" w:eastAsia="zh-CN" w:bidi="ar-SA"/>
        </w:rPr>
        <w:t>建成后</w:t>
      </w:r>
      <w:r>
        <w:rPr>
          <w:rFonts w:hint="eastAsia" w:ascii="楷体_GB2312" w:hAnsi="宋体" w:eastAsia="楷体_GB2312" w:cs="Times New Roman"/>
          <w:b w:val="0"/>
          <w:bCs/>
          <w:kern w:val="2"/>
          <w:sz w:val="32"/>
          <w:szCs w:val="32"/>
          <w:highlight w:val="none"/>
          <w:lang w:val="en-US" w:eastAsia="zh-CN" w:bidi="ar-SA"/>
        </w:rPr>
        <w:t>将提升华蓥市在</w:t>
      </w:r>
      <w:r>
        <w:rPr>
          <w:rFonts w:hint="eastAsia" w:ascii="楷体_GB2312" w:hAnsi="宋体" w:eastAsia="楷体_GB2312" w:cs="Times New Roman"/>
          <w:b w:val="0"/>
          <w:bCs/>
          <w:kern w:val="2"/>
          <w:sz w:val="32"/>
          <w:szCs w:val="32"/>
          <w:highlight w:val="none"/>
          <w:lang w:val="zh-CN" w:eastAsia="zh-CN" w:bidi="ar-SA"/>
        </w:rPr>
        <w:t>现代养护</w:t>
      </w:r>
      <w:r>
        <w:rPr>
          <w:rFonts w:hint="eastAsia" w:ascii="楷体_GB2312" w:hAnsi="宋体" w:eastAsia="楷体_GB2312" w:cs="Times New Roman"/>
          <w:b w:val="0"/>
          <w:bCs/>
          <w:kern w:val="2"/>
          <w:sz w:val="32"/>
          <w:szCs w:val="32"/>
          <w:highlight w:val="none"/>
          <w:lang w:val="en-US" w:eastAsia="zh-CN" w:bidi="ar-SA"/>
        </w:rPr>
        <w:t>和</w:t>
      </w:r>
      <w:r>
        <w:rPr>
          <w:rFonts w:hint="eastAsia" w:ascii="楷体_GB2312" w:hAnsi="宋体" w:eastAsia="楷体_GB2312" w:cs="Times New Roman"/>
          <w:b w:val="0"/>
          <w:bCs/>
          <w:kern w:val="2"/>
          <w:sz w:val="32"/>
          <w:szCs w:val="32"/>
          <w:highlight w:val="none"/>
          <w:lang w:val="zh-CN" w:eastAsia="zh-CN" w:bidi="ar-SA"/>
        </w:rPr>
        <w:t>应急保通方面</w:t>
      </w:r>
      <w:r>
        <w:rPr>
          <w:rFonts w:hint="eastAsia" w:ascii="楷体_GB2312" w:hAnsi="宋体" w:eastAsia="楷体_GB2312" w:cs="Times New Roman"/>
          <w:b w:val="0"/>
          <w:bCs/>
          <w:kern w:val="2"/>
          <w:sz w:val="32"/>
          <w:szCs w:val="32"/>
          <w:highlight w:val="none"/>
          <w:lang w:val="en-US" w:eastAsia="zh-CN" w:bidi="ar-SA"/>
        </w:rPr>
        <w:t>的能力。</w:t>
      </w:r>
    </w:p>
    <w:p>
      <w:pPr>
        <w:adjustRightInd w:val="0"/>
        <w:snapToGrid w:val="0"/>
        <w:spacing w:line="580" w:lineRule="exact"/>
        <w:ind w:firstLine="720"/>
        <w:outlineLvl w:val="9"/>
        <w:rPr>
          <w:rFonts w:ascii="黑体" w:hAnsi="宋体" w:eastAsia="黑体"/>
          <w:sz w:val="32"/>
          <w:szCs w:val="32"/>
        </w:rPr>
      </w:pPr>
      <w:bookmarkStart w:id="98" w:name="_Toc24900"/>
      <w:r>
        <w:rPr>
          <w:rFonts w:hint="eastAsia" w:ascii="黑体" w:hAnsi="宋体" w:eastAsia="黑体"/>
          <w:sz w:val="32"/>
          <w:szCs w:val="32"/>
        </w:rPr>
        <w:t>五、评价结论及建议</w:t>
      </w:r>
      <w:bookmarkEnd w:id="98"/>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该项目资金管理规范，使用到位，执行有力，有效发挥了财政资金的使用效率，项目决策符合国家政策方针，管理符合相关制度，严格按时完成项目。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rPr>
          <w:rFonts w:hint="eastAsia"/>
          <w:lang w:val="en-US" w:eastAsia="zh-CN"/>
        </w:rPr>
      </w:pPr>
      <w:r>
        <w:rPr>
          <w:rFonts w:hint="eastAsia"/>
          <w:lang w:val="en-US" w:eastAsia="zh-CN"/>
        </w:rPr>
        <w:br w:type="page"/>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2020年“四好农村路”示范县专项补助</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outlineLvl w:val="9"/>
        <w:rPr>
          <w:rFonts w:ascii="黑体" w:hAnsi="宋体" w:eastAsia="黑体"/>
          <w:sz w:val="32"/>
          <w:szCs w:val="32"/>
          <w:lang w:val="zh-CN"/>
        </w:rPr>
      </w:pPr>
      <w:bookmarkStart w:id="99" w:name="_Toc4387"/>
      <w:r>
        <w:rPr>
          <w:rFonts w:hint="eastAsia" w:ascii="黑体" w:hAnsi="宋体" w:eastAsia="黑体"/>
          <w:sz w:val="32"/>
          <w:szCs w:val="32"/>
        </w:rPr>
        <w:t>一、</w:t>
      </w:r>
      <w:r>
        <w:rPr>
          <w:rFonts w:hint="eastAsia" w:ascii="黑体" w:hAnsi="宋体" w:eastAsia="黑体"/>
          <w:sz w:val="32"/>
          <w:szCs w:val="32"/>
          <w:lang w:val="zh-CN"/>
        </w:rPr>
        <w:t>项目概况</w:t>
      </w:r>
      <w:bookmarkEnd w:id="99"/>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为了贯彻习近平总书记关于“四好农村路”建设系列指示批示精神和省委省政府的工作部署，进一步加强农村公路管理，在抓重点、补短板、强弱项上下</w:t>
      </w:r>
      <w:r>
        <w:rPr>
          <w:rFonts w:hint="eastAsia" w:ascii="仿宋_GB2312" w:hAnsi="宋体" w:eastAsia="仿宋_GB2312"/>
          <w:sz w:val="32"/>
          <w:szCs w:val="32"/>
          <w:lang w:val="en-US" w:eastAsia="zh-CN"/>
        </w:rPr>
        <w:t>功</w:t>
      </w:r>
      <w:r>
        <w:rPr>
          <w:rFonts w:hint="eastAsia" w:ascii="仿宋_GB2312" w:hAnsi="宋体" w:eastAsia="仿宋_GB2312"/>
          <w:sz w:val="32"/>
          <w:szCs w:val="32"/>
          <w:lang w:val="zh-CN"/>
        </w:rPr>
        <w:t>夫，持续提升农村公路服务水平，切实推进“四好农村路”建设高质量发展，确有必要实施本项目，本项目的实施旨在通过建设，持续提高农村公路服务水平，丰富农村公路品质内涵，全力营造“畅、安、舒、绿、美”的农村交通环境，全力打造幸福美</w:t>
      </w:r>
      <w:bookmarkStart w:id="163" w:name="_GoBack"/>
      <w:bookmarkEnd w:id="163"/>
      <w:r>
        <w:rPr>
          <w:rFonts w:hint="eastAsia" w:ascii="仿宋_GB2312" w:hAnsi="宋体" w:eastAsia="仿宋_GB2312"/>
          <w:sz w:val="32"/>
          <w:szCs w:val="32"/>
          <w:lang w:val="zh-CN"/>
        </w:rPr>
        <w:t>丽乡村路，为打赢脱贫攻坚战、实施乡村振兴战略和加快农业农村现代化提供强有力的交通运输保障。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lang w:val="zh-CN"/>
        </w:rPr>
      </w:pPr>
      <w:r>
        <w:rPr>
          <w:rFonts w:hint="eastAsia" w:ascii="仿宋_GB2312" w:hAnsi="宋体" w:eastAsia="仿宋_GB2312"/>
          <w:sz w:val="32"/>
          <w:szCs w:val="32"/>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lang w:val="zh-CN"/>
        </w:rPr>
      </w:pPr>
      <w:r>
        <w:rPr>
          <w:rFonts w:hint="eastAsia" w:ascii="仿宋_GB2312" w:hAnsi="宋体" w:eastAsia="仿宋_GB2312"/>
          <w:sz w:val="32"/>
          <w:szCs w:val="32"/>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lang w:val="zh-CN"/>
        </w:rPr>
      </w:pPr>
      <w:r>
        <w:rPr>
          <w:rFonts w:hint="eastAsia" w:ascii="仿宋_GB2312" w:hAnsi="宋体" w:eastAsia="仿宋_GB2312"/>
          <w:sz w:val="32"/>
          <w:szCs w:val="32"/>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对全市12个乡镇、街道修建农村公路进行补助。</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．项目具体绩效目标。新改建农村公路</w:t>
      </w:r>
      <w:r>
        <w:rPr>
          <w:rFonts w:hint="eastAsia" w:ascii="仿宋_GB2312" w:hAnsi="宋体" w:eastAsia="仿宋_GB2312"/>
          <w:sz w:val="32"/>
          <w:szCs w:val="32"/>
          <w:highlight w:val="none"/>
          <w:lang w:val="zh-CN" w:eastAsia="zh-CN"/>
        </w:rPr>
        <w:t>57.14</w:t>
      </w:r>
      <w:r>
        <w:rPr>
          <w:rFonts w:hint="eastAsia" w:ascii="仿宋_GB2312" w:hAnsi="宋体" w:eastAsia="仿宋_GB2312"/>
          <w:sz w:val="32"/>
          <w:szCs w:val="32"/>
          <w:highlight w:val="none"/>
          <w:lang w:val="zh-CN"/>
        </w:rPr>
        <w:t>公里。</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1、自评步骤。</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（1）年初制定工作计划，确定工作目标；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（3）年末对照工作目标，检查完成程度。</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2、自评方法。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rPr>
      </w:pPr>
      <w:bookmarkStart w:id="100" w:name="_Toc28578"/>
      <w:r>
        <w:rPr>
          <w:rFonts w:hint="eastAsia" w:ascii="黑体" w:hAnsi="宋体" w:eastAsia="黑体"/>
          <w:sz w:val="32"/>
          <w:szCs w:val="32"/>
        </w:rPr>
        <w:t>二、项目资金申报及使用情况</w:t>
      </w:r>
      <w:bookmarkEnd w:id="100"/>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年华蓥市财政局下达2020年“四好农村路”示范县专项补助314.85万元，符合资金管理办法等相关规定。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资金预算安排数为314.85万元。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截至评价时点实际到位资金314.85万元，所有资金均按时到位，到位比例100%。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截至评价时点，已拨付资金314.85万元，全部用于了农村公路</w:t>
      </w:r>
      <w:r>
        <w:rPr>
          <w:rFonts w:hint="eastAsia" w:ascii="仿宋_GB2312" w:hAnsi="宋体" w:eastAsia="仿宋_GB2312"/>
          <w:sz w:val="32"/>
          <w:szCs w:val="32"/>
          <w:highlight w:val="none"/>
          <w:lang w:val="en-US" w:eastAsia="zh-CN"/>
        </w:rPr>
        <w:t>建设</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w:t>
      </w:r>
      <w:r>
        <w:rPr>
          <w:rFonts w:hint="eastAsia" w:ascii="仿宋_GB2312" w:hAnsi="宋体" w:eastAsia="仿宋_GB2312"/>
          <w:sz w:val="32"/>
          <w:szCs w:val="32"/>
          <w:lang w:val="zh-CN"/>
        </w:rPr>
        <w:t>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rPr>
      </w:pPr>
      <w:bookmarkStart w:id="101" w:name="_Toc10434"/>
      <w:r>
        <w:rPr>
          <w:rFonts w:hint="eastAsia" w:ascii="黑体" w:hAnsi="宋体" w:eastAsia="黑体"/>
          <w:sz w:val="32"/>
          <w:szCs w:val="32"/>
        </w:rPr>
        <w:t>三、项目实施及管理情况</w:t>
      </w:r>
      <w:bookmarkEnd w:id="101"/>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lang w:val="zh-CN"/>
        </w:rPr>
      </w:pPr>
      <w:bookmarkStart w:id="102" w:name="_Toc25269"/>
      <w:r>
        <w:rPr>
          <w:rFonts w:hint="eastAsia" w:ascii="黑体" w:hAnsi="宋体" w:eastAsia="黑体"/>
          <w:sz w:val="32"/>
          <w:szCs w:val="32"/>
        </w:rPr>
        <w:t>四、项目绩效情况</w:t>
      </w:r>
      <w:bookmarkEnd w:id="102"/>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农村公路建设项目在市委市政府的坚强领导下，在相关部门，各乡镇、街道的配合之下，较为圆满地完成了各项目标任务：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w:t>
      </w:r>
      <w:r>
        <w:rPr>
          <w:rFonts w:hint="eastAsia" w:ascii="仿宋_GB2312" w:hAnsi="宋体" w:eastAsia="仿宋_GB2312"/>
          <w:sz w:val="32"/>
          <w:szCs w:val="32"/>
          <w:highlight w:val="none"/>
          <w:lang w:val="zh-CN" w:eastAsia="zh-CN"/>
        </w:rPr>
        <w:t>57.14公里农村公路</w:t>
      </w:r>
      <w:r>
        <w:rPr>
          <w:rFonts w:hint="eastAsia" w:ascii="仿宋_GB2312" w:hAnsi="宋体" w:eastAsia="仿宋_GB2312"/>
          <w:sz w:val="32"/>
          <w:szCs w:val="32"/>
          <w:highlight w:val="none"/>
          <w:lang w:val="en-US" w:eastAsia="zh-CN"/>
        </w:rPr>
        <w:t>建设项目</w:t>
      </w:r>
      <w:r>
        <w:rPr>
          <w:rFonts w:hint="eastAsia" w:ascii="仿宋_GB2312" w:hAnsi="宋体" w:eastAsia="仿宋_GB2312"/>
          <w:sz w:val="32"/>
          <w:szCs w:val="32"/>
          <w:highlight w:val="none"/>
          <w:lang w:val="zh-CN" w:eastAsia="zh-CN"/>
        </w:rPr>
        <w:t>补助</w:t>
      </w:r>
      <w:r>
        <w:rPr>
          <w:rFonts w:hint="eastAsia" w:ascii="仿宋_GB2312" w:hAnsi="宋体" w:eastAsia="仿宋_GB2312"/>
          <w:sz w:val="32"/>
          <w:szCs w:val="32"/>
          <w:highlight w:val="none"/>
          <w:lang w:val="zh-CN"/>
        </w:rPr>
        <w:t>，占目标任务的100%，已达成数量预期指标。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本项目的实施最大化实现了经济效益、社会效益、生态效益，可持续发展目标，满足群众出行要求，保障了群众生命安全：</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实施的经济效益分析。通过工程建设，直接拉动了全市重点建材物资如水泥、砂的消费，产生了一定的经济效益，同时本项目的实施增强了农村公路路网通行能力，使得油耗降低、水毁减少、汽车磨损减少、行车时速加快、办事效率提高，为农村、农业发展提供了便利交通，为乡村旅游提供了可靠的基础保障，便于群众生产、生活，切实助力了华蓥经济的快速发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实施的社会效益分析。本项目社会效益显著。项目的实施，最大限度的缓解了农民出行难的问题，同时项目的实施还增强了农村公路路网通行能力，随着农村公路网络的进一步完善，农村客货运输也将进一步加强，尤其是城乡客运会随着农村公路通达深度的提高而逐步延伸，将为当地百姓带来人流、物流、信息流，使林果业、农牧产品尽快得到充分的开发利用，促进了农业产业结构的优化调整，进而带动商业、餐饮等相关产业全面发展，加快了农村城镇化进程，缩小了城乡差距，保证了资源的均衡流动，拉动一方经济，致富一方百姓。</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5、满意度指标完成情况分析。本项目的实施为群众的生产、生活、出行带来了极大的便利，提升了民众出行的幸福感、获得感。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rPr>
      </w:pPr>
      <w:bookmarkStart w:id="103" w:name="_Toc6997"/>
      <w:r>
        <w:rPr>
          <w:rFonts w:hint="eastAsia" w:ascii="黑体" w:hAnsi="宋体" w:eastAsia="黑体"/>
          <w:sz w:val="32"/>
          <w:szCs w:val="32"/>
        </w:rPr>
        <w:t>五、评价结论及建议</w:t>
      </w:r>
      <w:bookmarkEnd w:id="103"/>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农村公路建设项目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项目实施过程中尚有不足之处，主要是农村村公路养护管理机制还有待进一步完善。</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rPr>
          <w:rFonts w:hint="eastAsia" w:ascii="仿宋_GB2312" w:hAnsi="宋体" w:eastAsia="仿宋_GB2312"/>
          <w:sz w:val="32"/>
          <w:szCs w:val="32"/>
          <w:lang w:val="zh-CN"/>
        </w:rPr>
      </w:pPr>
      <w:r>
        <w:rPr>
          <w:rFonts w:hint="eastAsia" w:ascii="仿宋_GB2312" w:hAnsi="宋体" w:eastAsia="仿宋_GB2312"/>
          <w:sz w:val="32"/>
          <w:szCs w:val="32"/>
          <w:lang w:val="zh-CN"/>
        </w:rPr>
        <w:t>针对存在的问题，我们将通过制度建设、创新机制、规范管理，进一步完善现有的管理办法、村级公路养护管理机制，形成建设管理一体化工作机制。同时，建议继续加大对农村道路建设养护经费的投入。</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br w:type="page"/>
      </w:r>
    </w:p>
    <w:p>
      <w:pPr>
        <w:spacing w:line="600" w:lineRule="exact"/>
        <w:jc w:val="center"/>
        <w:outlineLvl w:val="9"/>
        <w:rPr>
          <w:rFonts w:ascii="方正小标宋简体" w:hAnsi="宋体" w:eastAsia="方正小标宋简体"/>
          <w:color w:val="000000"/>
          <w:kern w:val="0"/>
          <w:sz w:val="44"/>
          <w:szCs w:val="44"/>
          <w:lang w:val="zh-CN"/>
        </w:rPr>
      </w:pPr>
      <w:bookmarkStart w:id="104" w:name="_Toc15039"/>
      <w:r>
        <w:rPr>
          <w:rFonts w:hint="eastAsia" w:ascii="方正小标宋简体" w:hAnsi="宋体" w:eastAsia="方正小标宋简体"/>
          <w:color w:val="000000"/>
          <w:kern w:val="0"/>
          <w:sz w:val="44"/>
          <w:szCs w:val="44"/>
        </w:rPr>
        <w:t>农村客运成品油价格补助资金专项补助</w:t>
      </w:r>
      <w:bookmarkEnd w:id="104"/>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outlineLvl w:val="9"/>
        <w:rPr>
          <w:rFonts w:ascii="黑体" w:hAnsi="宋体" w:eastAsia="黑体"/>
          <w:sz w:val="32"/>
          <w:szCs w:val="32"/>
          <w:lang w:val="zh-CN"/>
        </w:rPr>
      </w:pPr>
      <w:bookmarkStart w:id="105" w:name="_Toc19092"/>
      <w:r>
        <w:rPr>
          <w:rFonts w:hint="eastAsia" w:ascii="黑体" w:hAnsi="宋体" w:eastAsia="黑体"/>
          <w:sz w:val="32"/>
          <w:szCs w:val="32"/>
        </w:rPr>
        <w:t>一、</w:t>
      </w:r>
      <w:r>
        <w:rPr>
          <w:rFonts w:hint="eastAsia" w:ascii="黑体" w:hAnsi="宋体" w:eastAsia="黑体"/>
          <w:sz w:val="32"/>
          <w:szCs w:val="32"/>
          <w:lang w:val="zh-CN"/>
        </w:rPr>
        <w:t>项目概况</w:t>
      </w:r>
      <w:bookmarkEnd w:id="105"/>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lang w:val="zh-CN"/>
        </w:rPr>
      </w:pPr>
      <w:r>
        <w:rPr>
          <w:rFonts w:hint="eastAsia" w:ascii="仿宋_GB2312" w:hAnsi="宋体" w:eastAsia="仿宋_GB2312"/>
          <w:sz w:val="32"/>
          <w:szCs w:val="32"/>
          <w:lang w:val="zh-CN"/>
        </w:rPr>
        <w:t>（1）资金管理办法：该项目资金纳入财政预算管理；</w:t>
      </w:r>
    </w:p>
    <w:p>
      <w:pPr>
        <w:adjustRightInd w:val="0"/>
        <w:snapToGrid w:val="0"/>
        <w:spacing w:line="600" w:lineRule="exact"/>
        <w:ind w:left="210" w:leftChars="100" w:firstLine="320" w:firstLineChars="100"/>
        <w:rPr>
          <w:rFonts w:hint="eastAsia" w:ascii="仿宋_GB2312" w:hAnsi="宋体" w:eastAsia="仿宋_GB2312"/>
          <w:sz w:val="32"/>
          <w:szCs w:val="32"/>
          <w:lang w:val="zh-CN"/>
        </w:rPr>
      </w:pPr>
      <w:r>
        <w:rPr>
          <w:rFonts w:hint="eastAsia" w:ascii="仿宋_GB2312" w:hAnsi="宋体" w:eastAsia="仿宋_GB2312"/>
          <w:sz w:val="32"/>
          <w:szCs w:val="32"/>
          <w:lang w:val="zh-CN"/>
        </w:rPr>
        <w:t>（2）资金支持具体项目的条件、范围：该专项资金用于弥补农村客运车辆日常经营的亏损；</w:t>
      </w:r>
    </w:p>
    <w:p>
      <w:pPr>
        <w:adjustRightInd w:val="0"/>
        <w:snapToGrid w:val="0"/>
        <w:spacing w:line="600" w:lineRule="exact"/>
        <w:ind w:left="210" w:leftChars="100" w:firstLine="320" w:firstLineChars="100"/>
        <w:rPr>
          <w:rFonts w:hint="eastAsia" w:ascii="仿宋_GB2312" w:hAnsi="宋体" w:eastAsia="仿宋_GB2312"/>
          <w:sz w:val="32"/>
          <w:szCs w:val="32"/>
          <w:lang w:val="zh-CN"/>
        </w:rPr>
      </w:pPr>
      <w:r>
        <w:rPr>
          <w:rFonts w:hint="eastAsia" w:ascii="仿宋_GB2312" w:hAnsi="宋体" w:eastAsia="仿宋_GB2312"/>
          <w:sz w:val="32"/>
          <w:szCs w:val="32"/>
          <w:lang w:val="zh-CN"/>
        </w:rPr>
        <w:t>（3）资金支持方式：按核定补助农村客运企业。</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（2）考虑因素：充分考虑项目实施地点地域条件、经济条件等因素，综合考量再对资金进行分配。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补助农村客运企业2家。</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补助农村客运企业2家。</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1、自评步骤。</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（1）年初制定工作计划，确定工作目标；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（3）年末对照工作目标，检查完成程度。</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2、自评方法。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rPr>
      </w:pPr>
      <w:bookmarkStart w:id="106" w:name="_Toc13068"/>
      <w:r>
        <w:rPr>
          <w:rFonts w:hint="eastAsia" w:ascii="黑体" w:hAnsi="宋体" w:eastAsia="黑体"/>
          <w:sz w:val="32"/>
          <w:szCs w:val="32"/>
        </w:rPr>
        <w:t>二、项目资金申报及使用情况</w:t>
      </w:r>
      <w:bookmarkEnd w:id="106"/>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年华蓥市财政局下达农村客运成品油价格专项补助3</w:t>
      </w:r>
      <w:r>
        <w:rPr>
          <w:rFonts w:hint="eastAsia" w:ascii="仿宋_GB2312" w:hAnsi="宋体" w:eastAsia="仿宋_GB2312"/>
          <w:sz w:val="32"/>
          <w:szCs w:val="32"/>
          <w:highlight w:val="none"/>
          <w:lang w:val="en-US" w:eastAsia="zh-CN"/>
        </w:rPr>
        <w:t>46.05</w:t>
      </w:r>
      <w:r>
        <w:rPr>
          <w:rFonts w:hint="eastAsia" w:ascii="仿宋_GB2312" w:hAnsi="宋体" w:eastAsia="仿宋_GB2312"/>
          <w:sz w:val="32"/>
          <w:szCs w:val="32"/>
          <w:highlight w:val="none"/>
          <w:lang w:val="zh-CN"/>
        </w:rPr>
        <w:t>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w:t>
      </w:r>
      <w:r>
        <w:rPr>
          <w:rFonts w:hint="eastAsia" w:ascii="仿宋_GB2312" w:hAnsi="宋体" w:eastAsia="仿宋_GB2312"/>
          <w:sz w:val="32"/>
          <w:szCs w:val="32"/>
          <w:highlight w:val="none"/>
          <w:lang w:val="en-US" w:eastAsia="zh-CN"/>
        </w:rPr>
        <w:t>346.05</w:t>
      </w:r>
      <w:r>
        <w:rPr>
          <w:rFonts w:hint="eastAsia" w:ascii="仿宋_GB2312" w:hAnsi="宋体" w:eastAsia="仿宋_GB2312"/>
          <w:sz w:val="32"/>
          <w:szCs w:val="32"/>
          <w:highlight w:val="none"/>
          <w:lang w:val="zh-CN"/>
        </w:rPr>
        <w:t>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w:t>
      </w:r>
      <w:r>
        <w:rPr>
          <w:rFonts w:hint="eastAsia" w:ascii="仿宋_GB2312" w:hAnsi="宋体" w:eastAsia="仿宋_GB2312"/>
          <w:sz w:val="32"/>
          <w:szCs w:val="32"/>
          <w:highlight w:val="none"/>
          <w:lang w:val="en-US" w:eastAsia="zh-CN"/>
        </w:rPr>
        <w:t>346.05</w:t>
      </w:r>
      <w:r>
        <w:rPr>
          <w:rFonts w:hint="eastAsia" w:ascii="仿宋_GB2312" w:hAnsi="宋体" w:eastAsia="仿宋_GB2312"/>
          <w:sz w:val="32"/>
          <w:szCs w:val="32"/>
          <w:highlight w:val="none"/>
          <w:lang w:val="zh-CN"/>
        </w:rPr>
        <w:t>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w:t>
      </w:r>
      <w:r>
        <w:rPr>
          <w:rFonts w:hint="eastAsia" w:ascii="仿宋_GB2312" w:hAnsi="宋体" w:eastAsia="仿宋_GB2312"/>
          <w:sz w:val="32"/>
          <w:szCs w:val="32"/>
          <w:highlight w:val="none"/>
          <w:lang w:val="en-US" w:eastAsia="zh-CN"/>
        </w:rPr>
        <w:t>346.05</w:t>
      </w:r>
      <w:r>
        <w:rPr>
          <w:rFonts w:hint="eastAsia" w:ascii="仿宋_GB2312" w:hAnsi="宋体" w:eastAsia="仿宋_GB2312"/>
          <w:sz w:val="32"/>
          <w:szCs w:val="32"/>
          <w:highlight w:val="none"/>
          <w:lang w:val="zh-CN"/>
        </w:rPr>
        <w:t>万元，全部用于弥补农村客运车辆日常经营的亏损，拨付比例100%，我单位按时按要求完成了资金的拨付，支付依据合规合法，资金支付与预算相符。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w:t>
      </w:r>
      <w:r>
        <w:rPr>
          <w:rFonts w:hint="eastAsia" w:ascii="仿宋_GB2312" w:hAnsi="宋体" w:eastAsia="仿宋_GB2312"/>
          <w:sz w:val="32"/>
          <w:szCs w:val="32"/>
          <w:lang w:val="zh-CN"/>
        </w:rPr>
        <w:t>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rPr>
      </w:pPr>
      <w:bookmarkStart w:id="107" w:name="_Toc19244"/>
      <w:r>
        <w:rPr>
          <w:rFonts w:hint="eastAsia" w:ascii="黑体" w:hAnsi="宋体" w:eastAsia="黑体"/>
          <w:sz w:val="32"/>
          <w:szCs w:val="32"/>
        </w:rPr>
        <w:t>三、项目实施及管理情况</w:t>
      </w:r>
      <w:bookmarkEnd w:id="107"/>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2021年度，我局积极组织实施了农村客运成品油价格补助，对项目实施单位所申报的项目情况严格把关，认真落实，严格按照项目管理办法进行项目资金的分配和审核。</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为加强资金管理，保证专款专用，按照财政部、交通运输部出台的《城乡道路客运成品油价格补助专项资金管理办法》和《关于城市公交车成品油价格补助政策的补充通知》等资金管理办法执行，不搞截留，不搞挪用，专款专用，为城市公交和农村客运发展提供了制度保障。一是在资金发放中严格按照财务制度进行拨付；二是发放过程中全程监督；三是发放后业主签字领款，留存发放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为加强项目监管，我局将项目分配到运管所进行管理，严格按照专项资金管理办法的要求，确定支持范围、方式和标准，并对项目实施单位采取上门走访，调查相关资料等方式进行把关，后期结合日常工作现场走访、电话沟通，加强与项目实施单位的联系，实时掌握情况，加强管理。</w:t>
      </w:r>
    </w:p>
    <w:p>
      <w:pPr>
        <w:adjustRightInd w:val="0"/>
        <w:snapToGrid w:val="0"/>
        <w:spacing w:line="600" w:lineRule="exact"/>
        <w:ind w:firstLine="640" w:firstLineChars="200"/>
        <w:outlineLvl w:val="9"/>
        <w:rPr>
          <w:rFonts w:ascii="仿宋_GB2312" w:hAnsi="宋体" w:eastAsia="仿宋_GB2312"/>
          <w:sz w:val="32"/>
          <w:szCs w:val="32"/>
          <w:lang w:val="zh-CN"/>
        </w:rPr>
      </w:pPr>
      <w:bookmarkStart w:id="108" w:name="_Toc482"/>
      <w:r>
        <w:rPr>
          <w:rFonts w:hint="eastAsia" w:ascii="黑体" w:hAnsi="宋体" w:eastAsia="黑体"/>
          <w:sz w:val="32"/>
          <w:szCs w:val="32"/>
        </w:rPr>
        <w:t>四、项目绩效情况</w:t>
      </w:r>
      <w:bookmarkEnd w:id="108"/>
      <w:r>
        <w:rPr>
          <w:rFonts w:ascii="仿宋_GB2312" w:hAnsi="宋体" w:eastAsia="仿宋_GB2312"/>
          <w:sz w:val="32"/>
          <w:szCs w:val="32"/>
          <w:lang w:val="zh-CN"/>
        </w:rPr>
        <w:tab/>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数量指标。</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补助2家农村客运企业。</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rPr>
        <w:t>质量指标。</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农村客运车辆成品油补贴公示7日后发放到了2家农村客运企业经营业主，用于经营性补贴。</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rPr>
        <w:t>时效指标。</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2019年度农村客运成品油价格补助资金346.05万元已在2021年12月底全面完成发放到经营业主手中。</w:t>
      </w:r>
    </w:p>
    <w:p>
      <w:pPr>
        <w:numPr>
          <w:ilvl w:val="0"/>
          <w:numId w:val="0"/>
        </w:num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rPr>
        <w:t>成本指标。</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2021年度农村客运成品油补贴专项转移支付按目标完成，未产生额外费用。</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经济效益。</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农村客运成品油补贴专项转移支付能补充农村客运车辆日常经营的亏损、巩固建制村100%通车成果，有利于乡村客运市场的稳定发展。</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社会效益。</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农村客运成品油补贴专项转移支付按时保质完成，维持了城市公共交通和农村客运的稳定发展，保障了群众的日常出行需求得到满足。</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生态效益。</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保障农村客运市场的发展和车辆保有数量，大力发展公共交通，有利于减少汽车尾气排放，降低PM2.5等指数，减少大气污染。</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可持续影响。</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农村客运成品油补贴专项转移支付用于发展公共交通客运市场发展，公共交通的大力发展可引起人民出行方式的改变，提高公共交通出行在总出行方式中的占比，也保障了乡镇群众的日常出行需求。</w:t>
      </w:r>
    </w:p>
    <w:p>
      <w:pPr>
        <w:adjustRightInd w:val="0"/>
        <w:snapToGrid w:val="0"/>
        <w:spacing w:line="600" w:lineRule="exact"/>
        <w:ind w:firstLine="720"/>
        <w:outlineLvl w:val="9"/>
        <w:rPr>
          <w:rFonts w:ascii="黑体" w:hAnsi="宋体" w:eastAsia="黑体"/>
          <w:sz w:val="32"/>
          <w:szCs w:val="32"/>
        </w:rPr>
      </w:pPr>
      <w:bookmarkStart w:id="109" w:name="_Toc17778"/>
      <w:r>
        <w:rPr>
          <w:rFonts w:hint="eastAsia" w:ascii="黑体" w:hAnsi="宋体" w:eastAsia="黑体"/>
          <w:sz w:val="32"/>
          <w:szCs w:val="32"/>
        </w:rPr>
        <w:t>五、评价结论及建议</w:t>
      </w:r>
      <w:bookmarkEnd w:id="109"/>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中央共下达2019年农村客运成品油补贴专项转移支付预算346.05万元，完成绩效目标346.05万元，没有偏离绩效目标。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rPr>
          <w:rFonts w:hint="eastAsia" w:ascii="仿宋_GB2312" w:hAnsi="宋体" w:eastAsia="仿宋_GB2312"/>
          <w:sz w:val="32"/>
          <w:szCs w:val="32"/>
          <w:lang w:val="zh-CN"/>
        </w:rPr>
      </w:pPr>
      <w:r>
        <w:rPr>
          <w:rFonts w:hint="eastAsia" w:ascii="仿宋_GB2312" w:hAnsi="宋体" w:eastAsia="仿宋_GB2312"/>
          <w:sz w:val="32"/>
          <w:szCs w:val="32"/>
          <w:lang w:val="zh-CN"/>
        </w:rPr>
        <w:br w:type="page"/>
      </w:r>
    </w:p>
    <w:p>
      <w:pPr>
        <w:spacing w:line="600" w:lineRule="exact"/>
        <w:jc w:val="center"/>
        <w:outlineLvl w:val="9"/>
        <w:rPr>
          <w:rFonts w:ascii="方正小标宋简体" w:hAnsi="宋体" w:eastAsia="方正小标宋简体"/>
          <w:color w:val="000000"/>
          <w:kern w:val="0"/>
          <w:sz w:val="44"/>
          <w:szCs w:val="44"/>
          <w:highlight w:val="none"/>
          <w:lang w:val="zh-CN"/>
        </w:rPr>
      </w:pPr>
      <w:bookmarkStart w:id="110" w:name="_Toc21723"/>
      <w:r>
        <w:rPr>
          <w:rFonts w:hint="eastAsia" w:ascii="方正小标宋简体" w:hAnsi="宋体" w:eastAsia="方正小标宋简体"/>
          <w:color w:val="000000"/>
          <w:kern w:val="0"/>
          <w:sz w:val="44"/>
          <w:szCs w:val="44"/>
          <w:highlight w:val="none"/>
          <w:lang w:eastAsia="zh-CN"/>
        </w:rPr>
        <w:t>车辆购置税收入补助普通省道和农村公路项目</w:t>
      </w:r>
      <w:r>
        <w:rPr>
          <w:rFonts w:ascii="方正小标宋简体" w:hAnsi="宋体" w:eastAsia="方正小标宋简体"/>
          <w:color w:val="000000"/>
          <w:kern w:val="0"/>
          <w:sz w:val="44"/>
          <w:szCs w:val="44"/>
          <w:highlight w:val="none"/>
        </w:rPr>
        <w:t>202</w:t>
      </w:r>
      <w:r>
        <w:rPr>
          <w:rFonts w:hint="eastAsia" w:ascii="方正小标宋简体" w:hAnsi="宋体" w:eastAsia="方正小标宋简体"/>
          <w:color w:val="000000"/>
          <w:kern w:val="0"/>
          <w:sz w:val="44"/>
          <w:szCs w:val="44"/>
          <w:highlight w:val="none"/>
          <w:lang w:val="en-US" w:eastAsia="zh-CN"/>
        </w:rPr>
        <w:t>1</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绩效评价报告</w:t>
      </w:r>
      <w:bookmarkEnd w:id="110"/>
    </w:p>
    <w:p>
      <w:pPr>
        <w:spacing w:line="600" w:lineRule="exact"/>
        <w:rPr>
          <w:rFonts w:ascii="宋体"/>
          <w:sz w:val="32"/>
          <w:szCs w:val="32"/>
          <w:highlight w:val="none"/>
          <w:lang w:val="zh-CN"/>
        </w:rPr>
      </w:pPr>
    </w:p>
    <w:p>
      <w:pPr>
        <w:adjustRightInd w:val="0"/>
        <w:snapToGrid w:val="0"/>
        <w:spacing w:line="600" w:lineRule="exact"/>
        <w:ind w:firstLine="720"/>
        <w:outlineLvl w:val="9"/>
        <w:rPr>
          <w:rFonts w:ascii="黑体" w:hAnsi="宋体" w:eastAsia="黑体"/>
          <w:sz w:val="32"/>
          <w:szCs w:val="32"/>
          <w:highlight w:val="none"/>
          <w:lang w:val="zh-CN"/>
        </w:rPr>
      </w:pPr>
      <w:bookmarkStart w:id="111" w:name="_Toc941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11"/>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rPr>
        <w:t>近年来，面对资源枯竭城市转型要求，华蓥市紧紧围绕“工业城、旅游市” 的发展定位，坚定不移走产城融合、城乡一体的新型城镇化之路，致力打造广安精品组团城市。目前，华蓥城区面积达 13 平方公里，城镇化率达 49%。在城市建设过程中，蓥西城区作为市政府重点打造的建设项目，近几年得到发展机会，该区域将全面建成财富中心、工商总部大厦，加速推进星星国际酒店、金融中心等产业项目，稳步布局配套广能集团总医院等 7 大公共服务项目，有序规划建设云谷湿地等 3 大城市公园；章广大道、蓥西大道等蓥西新城“四纵四横” 路网体系基本成型，城市空间加速拓展、形象品位全面提升。但随着该区域的建设逐渐完善，人口增多，公共交通运输服务需求也将逐渐增大，滞后的公共运输服务设施显然不能满足该区域内人居出行，为了完善本区域交通运输体系，推动区域总体规划建设，带动区域经济发展，满足人们日常出行的需求，提出了本项目的建设。</w:t>
      </w:r>
      <w:r>
        <w:rPr>
          <w:rFonts w:hint="eastAsia" w:ascii="仿宋_GB2312" w:hAnsi="宋体" w:eastAsia="仿宋_GB2312"/>
          <w:sz w:val="32"/>
          <w:szCs w:val="32"/>
          <w:highlight w:val="none"/>
          <w:lang w:val="en-US" w:eastAsia="zh-CN"/>
        </w:rPr>
        <w:t xml:space="preserve">  </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4</w:t>
      </w:r>
      <w:r>
        <w:rPr>
          <w:rFonts w:hint="eastAsia" w:ascii="仿宋_GB2312" w:hAnsi="宋体" w:eastAsia="仿宋_GB2312"/>
          <w:sz w:val="32"/>
          <w:szCs w:val="32"/>
          <w:highlight w:val="none"/>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新建1处客运站。</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新建1处客运站。</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1、自评步骤。</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（1）年初制定工作计划，确定工作目标；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（3）年末对照工作目标，检查完成程度。</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2、自评方法。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highlight w:val="none"/>
        </w:rPr>
      </w:pPr>
      <w:bookmarkStart w:id="112" w:name="_Toc21827"/>
      <w:r>
        <w:rPr>
          <w:rFonts w:hint="eastAsia" w:ascii="黑体" w:hAnsi="宋体" w:eastAsia="黑体"/>
          <w:sz w:val="32"/>
          <w:szCs w:val="32"/>
          <w:highlight w:val="none"/>
        </w:rPr>
        <w:t>二、项目资金申报及使用情况</w:t>
      </w:r>
      <w:bookmarkEnd w:id="112"/>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年华蓥市财政局下达车辆购置税收入补助普通省道和农村公路项目</w:t>
      </w:r>
      <w:r>
        <w:rPr>
          <w:rFonts w:hint="eastAsia" w:ascii="仿宋_GB2312" w:hAnsi="宋体" w:eastAsia="仿宋_GB2312"/>
          <w:sz w:val="32"/>
          <w:szCs w:val="32"/>
          <w:highlight w:val="none"/>
          <w:lang w:val="en-US" w:eastAsia="zh-CN"/>
        </w:rPr>
        <w:t>补助</w:t>
      </w:r>
      <w:r>
        <w:rPr>
          <w:rFonts w:hint="eastAsia" w:ascii="仿宋_GB2312" w:hAnsi="宋体" w:eastAsia="仿宋_GB2312"/>
          <w:sz w:val="32"/>
          <w:szCs w:val="32"/>
          <w:highlight w:val="none"/>
          <w:lang w:val="zh-CN"/>
        </w:rPr>
        <w:t>610.6万元，符合资金管理办法等相关规定。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资金预算安排数为610.6万元。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截至评价时点实际到位资金610.6万元，所有资金均按时到位，到位比例100%。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截至评价时点，已拨付资金610.6万元，全部用于了</w:t>
      </w:r>
      <w:r>
        <w:rPr>
          <w:rFonts w:hint="eastAsia" w:ascii="仿宋_GB2312" w:hAnsi="宋体" w:eastAsia="仿宋_GB2312"/>
          <w:sz w:val="32"/>
          <w:szCs w:val="32"/>
          <w:highlight w:val="none"/>
          <w:lang w:val="en-US" w:eastAsia="zh-CN"/>
        </w:rPr>
        <w:t>客运站建设</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highlight w:val="none"/>
        </w:rPr>
      </w:pPr>
      <w:bookmarkStart w:id="113" w:name="_Toc21257"/>
      <w:r>
        <w:rPr>
          <w:rFonts w:hint="eastAsia" w:ascii="黑体" w:hAnsi="宋体" w:eastAsia="黑体"/>
          <w:sz w:val="32"/>
          <w:szCs w:val="32"/>
          <w:highlight w:val="none"/>
        </w:rPr>
        <w:t>三、项目实施及管理情况</w:t>
      </w:r>
      <w:bookmarkEnd w:id="113"/>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（三）项目监管情况。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highlight w:val="none"/>
          <w:lang w:val="zh-CN"/>
        </w:rPr>
      </w:pPr>
      <w:bookmarkStart w:id="114" w:name="_Toc7211"/>
      <w:r>
        <w:rPr>
          <w:rFonts w:hint="eastAsia" w:ascii="黑体" w:hAnsi="宋体" w:eastAsia="黑体"/>
          <w:sz w:val="32"/>
          <w:szCs w:val="32"/>
          <w:highlight w:val="none"/>
        </w:rPr>
        <w:t>四、项目绩效情况</w:t>
      </w:r>
      <w:bookmarkEnd w:id="114"/>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车辆购置税收入补助普通省道和农村公路项目</w:t>
      </w:r>
      <w:r>
        <w:rPr>
          <w:rFonts w:hint="eastAsia" w:ascii="仿宋_GB2312" w:hAnsi="宋体" w:eastAsia="仿宋_GB2312"/>
          <w:sz w:val="32"/>
          <w:szCs w:val="32"/>
          <w:highlight w:val="none"/>
          <w:lang w:val="zh-CN"/>
        </w:rPr>
        <w:t>在市委市政府的坚强领导下，较为圆满地完成了各项目标任务：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w:t>
      </w:r>
      <w:r>
        <w:rPr>
          <w:rFonts w:hint="eastAsia" w:ascii="仿宋_GB2312" w:hAnsi="宋体" w:eastAsia="仿宋_GB2312"/>
          <w:sz w:val="32"/>
          <w:szCs w:val="32"/>
          <w:highlight w:val="none"/>
          <w:lang w:val="en-US" w:eastAsia="zh-CN"/>
        </w:rPr>
        <w:t>1处客运站建设</w:t>
      </w:r>
      <w:r>
        <w:rPr>
          <w:rFonts w:hint="eastAsia" w:ascii="仿宋_GB2312" w:hAnsi="宋体" w:eastAsia="仿宋_GB2312"/>
          <w:sz w:val="32"/>
          <w:szCs w:val="32"/>
          <w:highlight w:val="none"/>
          <w:lang w:val="zh-CN"/>
        </w:rPr>
        <w:t>，占目标任务的100%，已达成数量预期指标。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本项目的实施最大化实现了经济效益、社会效益、生态效益，可持续发展目标，满足群众出行要求，保障了群众生命安全：</w:t>
      </w:r>
    </w:p>
    <w:p>
      <w:pPr>
        <w:numPr>
          <w:ilvl w:val="0"/>
          <w:numId w:val="6"/>
        </w:num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项目实施的</w:t>
      </w:r>
      <w:r>
        <w:rPr>
          <w:rFonts w:hint="eastAsia" w:ascii="仿宋_GB2312" w:hAnsi="宋体" w:eastAsia="仿宋_GB2312"/>
          <w:sz w:val="32"/>
          <w:szCs w:val="32"/>
          <w:highlight w:val="none"/>
          <w:lang w:val="en-US" w:eastAsia="zh-CN"/>
        </w:rPr>
        <w:t>经济、社会</w:t>
      </w:r>
      <w:r>
        <w:rPr>
          <w:rFonts w:hint="eastAsia" w:ascii="仿宋_GB2312" w:hAnsi="宋体" w:eastAsia="仿宋_GB2312"/>
          <w:sz w:val="32"/>
          <w:szCs w:val="32"/>
          <w:highlight w:val="none"/>
          <w:lang w:val="zh-CN"/>
        </w:rPr>
        <w:t>效益分析。项目建设是实现高效换乘，打造现代化新型综合交通枢纽的需要；是实现土地的高效利用，优化区域土地资源配置的需要；是完善城市交通基础设施的需要；是强化华蓥市公路运输体系建设，提升区域交通枢纽地位的需要；是充分发挥枢纽经济辐射能力，带动华蓥市经济发展的需要。</w:t>
      </w:r>
    </w:p>
    <w:p>
      <w:pPr>
        <w:numPr>
          <w:ilvl w:val="0"/>
          <w:numId w:val="0"/>
        </w:num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rPr>
        <w:t>、项目实施的生态效益分析。项目实施过程中按照文明施工要求，加强了环境保护，确保了道路洁美，极大减少了对环境的污染破坏。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rPr>
        <w:t>、项目实施的可持续影响分析。本项目将在设计寿命周期内持续发挥基础设施作用，长效保障人民群众出行便利。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rPr>
        <w:t>、满意度指标完成情况分析。本项目的实施为群众的生产、生活、出行带来了极大的便利，提升了民众出行的幸福感、获得感。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highlight w:val="none"/>
        </w:rPr>
      </w:pPr>
      <w:bookmarkStart w:id="115" w:name="_Toc26839"/>
      <w:r>
        <w:rPr>
          <w:rFonts w:hint="eastAsia" w:ascii="黑体" w:hAnsi="宋体" w:eastAsia="黑体"/>
          <w:sz w:val="32"/>
          <w:szCs w:val="32"/>
          <w:highlight w:val="none"/>
        </w:rPr>
        <w:t>五、评价结论及建议</w:t>
      </w:r>
      <w:bookmarkEnd w:id="115"/>
    </w:p>
    <w:p>
      <w:pPr>
        <w:pStyle w:val="8"/>
        <w:keepNext w:val="0"/>
        <w:keepLines w:val="0"/>
        <w:pageBreakBefore w:val="0"/>
        <w:widowControl w:val="0"/>
        <w:kinsoku/>
        <w:wordWrap/>
        <w:overflowPunct/>
        <w:topLinePunct w:val="0"/>
        <w:autoSpaceDE/>
        <w:autoSpaceDN/>
        <w:bidi w:val="0"/>
        <w:adjustRightInd/>
        <w:snapToGrid w:val="0"/>
        <w:ind w:firstLine="640" w:firstLineChars="200"/>
        <w:jc w:val="both"/>
        <w:textAlignment w:val="auto"/>
        <w:rPr>
          <w:rFonts w:hint="eastAsia" w:ascii="黑体" w:hAnsi="黑体" w:eastAsia="黑体"/>
          <w:sz w:val="44"/>
          <w:szCs w:val="44"/>
        </w:rPr>
      </w:pPr>
      <w:r>
        <w:rPr>
          <w:rFonts w:hint="eastAsia" w:ascii="仿宋_GB2312" w:hAnsi="宋体" w:eastAsia="仿宋_GB2312" w:cs="Times New Roman"/>
          <w:kern w:val="2"/>
          <w:sz w:val="32"/>
          <w:szCs w:val="32"/>
          <w:highlight w:val="none"/>
          <w:lang w:val="en-US" w:eastAsia="zh-CN" w:bidi="ar-SA"/>
        </w:rPr>
        <w:t>车辆购置税收入补助普通省道和农村公路项目</w:t>
      </w:r>
      <w:r>
        <w:rPr>
          <w:rFonts w:hint="eastAsia" w:ascii="仿宋_GB2312" w:hAnsi="宋体" w:eastAsia="仿宋_GB2312" w:cs="Times New Roman"/>
          <w:kern w:val="2"/>
          <w:sz w:val="32"/>
          <w:szCs w:val="32"/>
          <w:highlight w:val="none"/>
          <w:lang w:val="zh-CN" w:eastAsia="zh-CN" w:bidi="ar-SA"/>
        </w:rPr>
        <w:t>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rPr>
          <w:rFonts w:hint="eastAsia" w:ascii="方正小标宋简体" w:hAnsi="宋体" w:eastAsia="方正小标宋简体"/>
          <w:color w:val="000000"/>
          <w:kern w:val="0"/>
          <w:sz w:val="44"/>
          <w:szCs w:val="44"/>
          <w:highlight w:val="none"/>
        </w:rPr>
      </w:pPr>
      <w:r>
        <w:rPr>
          <w:rFonts w:hint="eastAsia" w:ascii="方正小标宋简体" w:hAnsi="宋体" w:eastAsia="方正小标宋简体"/>
          <w:color w:val="000000"/>
          <w:kern w:val="0"/>
          <w:sz w:val="44"/>
          <w:szCs w:val="44"/>
          <w:highlight w:val="none"/>
        </w:rPr>
        <w:t>成品油税费改革用于G350预防性养护和</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中修</w:t>
      </w:r>
      <w:r>
        <w:rPr>
          <w:rFonts w:ascii="方正小标宋简体" w:hAnsi="宋体" w:eastAsia="方正小标宋简体"/>
          <w:color w:val="000000"/>
          <w:kern w:val="0"/>
          <w:sz w:val="44"/>
          <w:szCs w:val="44"/>
          <w:highlight w:val="none"/>
        </w:rPr>
        <w:t>202</w:t>
      </w:r>
      <w:r>
        <w:rPr>
          <w:rFonts w:hint="eastAsia" w:ascii="方正小标宋简体" w:hAnsi="宋体" w:eastAsia="方正小标宋简体"/>
          <w:color w:val="000000"/>
          <w:kern w:val="0"/>
          <w:sz w:val="44"/>
          <w:szCs w:val="44"/>
          <w:highlight w:val="none"/>
          <w:lang w:val="en-US" w:eastAsia="zh-CN"/>
        </w:rPr>
        <w:t>1</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sz w:val="32"/>
          <w:szCs w:val="32"/>
          <w:highlight w:val="none"/>
          <w:lang w:val="zh-CN"/>
        </w:rPr>
      </w:pPr>
    </w:p>
    <w:p>
      <w:pPr>
        <w:adjustRightInd w:val="0"/>
        <w:snapToGrid w:val="0"/>
        <w:spacing w:line="600" w:lineRule="exact"/>
        <w:ind w:firstLine="720"/>
        <w:outlineLvl w:val="9"/>
        <w:rPr>
          <w:rFonts w:ascii="黑体" w:hAnsi="宋体" w:eastAsia="黑体"/>
          <w:sz w:val="32"/>
          <w:szCs w:val="32"/>
          <w:highlight w:val="none"/>
          <w:lang w:val="zh-CN"/>
        </w:rPr>
      </w:pPr>
      <w:bookmarkStart w:id="116" w:name="_Toc31825"/>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16"/>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350 国道(利川--炉霍)是中华人民共和国的一条普通国道，起点在湖北省利川市，终点在四川省炉霍县，呈东西走向，经过湖北、重庆、四川 3个省份，大部分位于四川境内。本项目为</w:t>
      </w:r>
      <w:r>
        <w:rPr>
          <w:rFonts w:hint="eastAsia" w:ascii="仿宋_GB2312" w:hAnsi="宋体" w:eastAsia="仿宋_GB2312"/>
          <w:sz w:val="32"/>
          <w:szCs w:val="32"/>
          <w:highlight w:val="none"/>
          <w:lang w:val="en-US" w:eastAsia="zh-CN"/>
        </w:rPr>
        <w:t>G350</w:t>
      </w:r>
      <w:r>
        <w:rPr>
          <w:rFonts w:hint="eastAsia" w:ascii="仿宋_GB2312" w:hAnsi="宋体" w:eastAsia="仿宋_GB2312"/>
          <w:sz w:val="32"/>
          <w:szCs w:val="32"/>
          <w:highlight w:val="none"/>
          <w:lang w:val="zh-CN"/>
        </w:rPr>
        <w:t>线四川华蓥市境内路段,全长</w:t>
      </w:r>
      <w:r>
        <w:rPr>
          <w:rFonts w:hint="eastAsia" w:ascii="仿宋_GB2312" w:hAnsi="宋体" w:eastAsia="仿宋_GB2312"/>
          <w:sz w:val="32"/>
          <w:szCs w:val="32"/>
          <w:highlight w:val="none"/>
          <w:lang w:val="en-US" w:eastAsia="zh-CN"/>
        </w:rPr>
        <w:t>约10</w:t>
      </w:r>
      <w:r>
        <w:rPr>
          <w:rFonts w:hint="eastAsia" w:ascii="仿宋_GB2312" w:hAnsi="宋体" w:eastAsia="仿宋_GB2312"/>
          <w:sz w:val="32"/>
          <w:szCs w:val="32"/>
          <w:highlight w:val="none"/>
          <w:lang w:val="zh-CN"/>
        </w:rPr>
        <w:t>km，连接邻水县与广安市前锋区。经过多年的使用，该段公路部分路段路基、路面、交通安全设施等出现不同程度的损坏。公路损坏不仅给沿线过往车辆的安全通行造成隐患，也对城市形象及环境带来负面的影响。为恢复公路通行条件，确保沿线交通安全，降低运输产生的环境污染，提升城市空间形象，促进绿色交通发展；需对 G350 线华蓥段公路实施路面大中修。</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4</w:t>
      </w:r>
      <w:r>
        <w:rPr>
          <w:rFonts w:hint="eastAsia" w:ascii="仿宋_GB2312" w:hAnsi="宋体" w:eastAsia="仿宋_GB2312"/>
          <w:sz w:val="32"/>
          <w:szCs w:val="32"/>
          <w:highlight w:val="none"/>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实施G350大中修10公里。</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实施G350大中修10公里。</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1、自评步骤。</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（1）年初制定工作计划，确定工作目标；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（3）年末对照工作目标，检查完成程度。</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2、自评方法。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highlight w:val="none"/>
        </w:rPr>
      </w:pPr>
      <w:bookmarkStart w:id="117" w:name="_Toc16472"/>
      <w:r>
        <w:rPr>
          <w:rFonts w:hint="eastAsia" w:ascii="黑体" w:hAnsi="宋体" w:eastAsia="黑体"/>
          <w:sz w:val="32"/>
          <w:szCs w:val="32"/>
          <w:highlight w:val="none"/>
        </w:rPr>
        <w:t>二、项目资金申报及使用情况</w:t>
      </w:r>
      <w:bookmarkEnd w:id="117"/>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年华蓥市财政局下达成品油税费改革用于G350预防性养护和中修</w:t>
      </w:r>
      <w:r>
        <w:rPr>
          <w:rFonts w:hint="eastAsia" w:ascii="仿宋_GB2312" w:hAnsi="宋体" w:eastAsia="仿宋_GB2312"/>
          <w:sz w:val="32"/>
          <w:szCs w:val="32"/>
          <w:highlight w:val="none"/>
          <w:lang w:val="en-US" w:eastAsia="zh-CN"/>
        </w:rPr>
        <w:t>补助</w:t>
      </w:r>
      <w:r>
        <w:rPr>
          <w:rFonts w:hint="eastAsia" w:ascii="仿宋_GB2312" w:hAnsi="宋体" w:eastAsia="仿宋_GB2312"/>
          <w:sz w:val="32"/>
          <w:szCs w:val="32"/>
          <w:highlight w:val="none"/>
          <w:lang w:val="zh-CN"/>
        </w:rPr>
        <w:t>581.32万元，符合资金管理办法等相关规定。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资金预算安排数为581.32万元。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截至评价时点实际到位资金581.32万元，所有资金均按时到位，到位比例100%。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截至评价时点，已拨付资金581.32万元，全部用于了</w:t>
      </w:r>
      <w:r>
        <w:rPr>
          <w:rFonts w:hint="eastAsia" w:ascii="仿宋_GB2312" w:hAnsi="宋体" w:eastAsia="仿宋_GB2312"/>
          <w:sz w:val="32"/>
          <w:szCs w:val="32"/>
          <w:highlight w:val="none"/>
          <w:lang w:val="en-US" w:eastAsia="zh-CN"/>
        </w:rPr>
        <w:t>G350大中修</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highlight w:val="none"/>
        </w:rPr>
      </w:pPr>
      <w:bookmarkStart w:id="118" w:name="_Toc30736"/>
      <w:r>
        <w:rPr>
          <w:rFonts w:hint="eastAsia" w:ascii="黑体" w:hAnsi="宋体" w:eastAsia="黑体"/>
          <w:sz w:val="32"/>
          <w:szCs w:val="32"/>
          <w:highlight w:val="none"/>
        </w:rPr>
        <w:t>三、项目实施及管理情况</w:t>
      </w:r>
      <w:bookmarkEnd w:id="118"/>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（三）项目监管情况。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highlight w:val="none"/>
          <w:lang w:val="zh-CN"/>
        </w:rPr>
      </w:pPr>
      <w:bookmarkStart w:id="119" w:name="_Toc2032"/>
      <w:r>
        <w:rPr>
          <w:rFonts w:hint="eastAsia" w:ascii="黑体" w:hAnsi="宋体" w:eastAsia="黑体"/>
          <w:sz w:val="32"/>
          <w:szCs w:val="32"/>
          <w:highlight w:val="none"/>
        </w:rPr>
        <w:t>四、项目绩效情况</w:t>
      </w:r>
      <w:bookmarkEnd w:id="119"/>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G350大中修</w:t>
      </w:r>
      <w:r>
        <w:rPr>
          <w:rFonts w:hint="eastAsia" w:ascii="仿宋_GB2312" w:hAnsi="宋体" w:eastAsia="仿宋_GB2312"/>
          <w:sz w:val="32"/>
          <w:szCs w:val="32"/>
          <w:highlight w:val="none"/>
          <w:lang w:val="zh-CN"/>
        </w:rPr>
        <w:t>项目在市委市政府的坚强领导下，较为圆满地完成了各项目标任务：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w:t>
      </w:r>
      <w:r>
        <w:rPr>
          <w:rFonts w:hint="eastAsia" w:ascii="仿宋_GB2312" w:hAnsi="宋体" w:eastAsia="仿宋_GB2312"/>
          <w:sz w:val="32"/>
          <w:szCs w:val="32"/>
          <w:highlight w:val="none"/>
          <w:lang w:val="en-US" w:eastAsia="zh-CN"/>
        </w:rPr>
        <w:t>G350大中修10公里</w:t>
      </w:r>
      <w:r>
        <w:rPr>
          <w:rFonts w:hint="eastAsia" w:ascii="仿宋_GB2312" w:hAnsi="宋体" w:eastAsia="仿宋_GB2312"/>
          <w:sz w:val="32"/>
          <w:szCs w:val="32"/>
          <w:highlight w:val="none"/>
          <w:lang w:val="zh-CN"/>
        </w:rPr>
        <w:t>，占目标任务的100%，已达成数量预期指标。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本项目的实施最大化实现了经济效益、社会效益、生态效益，可持续发展目标，满足群众出行要求，保障了群众生命安全：</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1、项目实施的</w:t>
      </w:r>
      <w:r>
        <w:rPr>
          <w:rFonts w:hint="eastAsia" w:ascii="仿宋_GB2312" w:hAnsi="宋体" w:eastAsia="仿宋_GB2312"/>
          <w:sz w:val="32"/>
          <w:szCs w:val="32"/>
          <w:highlight w:val="none"/>
          <w:lang w:val="en-US" w:eastAsia="zh-CN"/>
        </w:rPr>
        <w:t>经济</w:t>
      </w:r>
      <w:r>
        <w:rPr>
          <w:rFonts w:hint="eastAsia" w:ascii="仿宋_GB2312" w:hAnsi="宋体" w:eastAsia="仿宋_GB2312"/>
          <w:sz w:val="32"/>
          <w:szCs w:val="32"/>
          <w:highlight w:val="none"/>
          <w:lang w:val="zh-CN"/>
        </w:rPr>
        <w:t>效益分析。项目采取全段修复及改善措施。对本项目公路实施大中修，将提高公路通行条件，提供交通运输优质服务，为区域交通运输安全提供有效的保障。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2、项目实施的社会效益分析。本项目位于四川广安市华蓥市境内，部分路段公路设施损坏，车辆通行受阻，带来了交通堵塞、运营污染等负面影响。对本项目公路实施大中 修，能够改善通行条件，大幅减小公路运营对城市环境的负面影响，有效提升城市形象，改善城市环境</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5、满意度指标完成情况分析。本项目的实施为群众的生产、生活、出行带来了极大的便利，提升了民众出行的幸福感、获得感。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highlight w:val="none"/>
        </w:rPr>
      </w:pPr>
      <w:bookmarkStart w:id="120" w:name="_Toc11243"/>
      <w:r>
        <w:rPr>
          <w:rFonts w:hint="eastAsia" w:ascii="黑体" w:hAnsi="宋体" w:eastAsia="黑体"/>
          <w:sz w:val="32"/>
          <w:szCs w:val="32"/>
          <w:highlight w:val="none"/>
        </w:rPr>
        <w:t>五、评价结论及建议</w:t>
      </w:r>
      <w:bookmarkEnd w:id="120"/>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640" w:firstLineChars="200"/>
        <w:rPr>
          <w:rFonts w:ascii="仿宋_GB2312" w:hAnsi="宋体" w:eastAsia="仿宋_GB2312"/>
          <w:sz w:val="32"/>
          <w:szCs w:val="32"/>
          <w:highlight w:val="none"/>
          <w:bdr w:val="single" w:color="auto" w:sz="4" w:space="0"/>
          <w:lang w:val="zh-CN"/>
        </w:rPr>
      </w:pPr>
      <w:r>
        <w:rPr>
          <w:rFonts w:hint="eastAsia" w:ascii="仿宋_GB2312" w:hAnsi="宋体" w:eastAsia="仿宋_GB2312"/>
          <w:sz w:val="32"/>
          <w:szCs w:val="32"/>
          <w:highlight w:val="none"/>
          <w:lang w:val="zh-CN"/>
        </w:rPr>
        <w:t>农村公路建设项目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640" w:firstLineChars="2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项目实施过程中尚有不足之处，主要是农村村公路养护管理机制还有待进一步完善。</w:t>
      </w:r>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pStyle w:val="8"/>
        <w:rPr>
          <w:rFonts w:hint="eastAsia" w:ascii="宋体" w:hAnsi="宋体" w:cs="宋体"/>
          <w:kern w:val="0"/>
          <w:sz w:val="24"/>
          <w:lang w:val="en-US" w:eastAsia="zh-CN" w:bidi="ar"/>
        </w:rPr>
      </w:pPr>
      <w:r>
        <w:rPr>
          <w:rFonts w:hint="eastAsia" w:ascii="仿宋_GB2312" w:hAnsi="宋体" w:eastAsia="仿宋_GB2312"/>
          <w:sz w:val="32"/>
          <w:szCs w:val="32"/>
          <w:highlight w:val="none"/>
          <w:lang w:val="zh-CN"/>
        </w:rPr>
        <w:t>针对存在的问题，我们将通过制度建设、创新机制、规范管理，进一步完善现有的管理办法、村级公路养护管理机制，形成建设管理一体化工作机制。同时，建议继续加大对农村道路建设养护经费的投入。</w:t>
      </w:r>
    </w:p>
    <w:p>
      <w:pPr>
        <w:rPr>
          <w:rFonts w:hint="eastAsia"/>
        </w:rPr>
      </w:pPr>
      <w:r>
        <w:rPr>
          <w:rFonts w:hint="eastAsia"/>
        </w:rPr>
        <w:br w:type="page"/>
      </w:r>
    </w:p>
    <w:p>
      <w:pPr>
        <w:spacing w:line="600" w:lineRule="exact"/>
        <w:jc w:val="center"/>
        <w:outlineLvl w:val="9"/>
        <w:rPr>
          <w:rFonts w:hint="eastAsia" w:ascii="方正小标宋简体" w:hAnsi="宋体" w:eastAsia="方正小标宋简体"/>
          <w:color w:val="000000"/>
          <w:kern w:val="0"/>
          <w:sz w:val="44"/>
          <w:szCs w:val="44"/>
          <w:highlight w:val="none"/>
        </w:rPr>
      </w:pPr>
      <w:bookmarkStart w:id="121" w:name="_Toc6931"/>
      <w:r>
        <w:rPr>
          <w:rFonts w:hint="eastAsia" w:ascii="方正小标宋简体" w:hAnsi="宋体" w:eastAsia="方正小标宋简体"/>
          <w:color w:val="000000"/>
          <w:kern w:val="0"/>
          <w:sz w:val="44"/>
          <w:szCs w:val="44"/>
          <w:highlight w:val="none"/>
        </w:rPr>
        <w:t>成品油税费改革用于农村公路养护</w:t>
      </w:r>
      <w:bookmarkEnd w:id="121"/>
    </w:p>
    <w:p>
      <w:pPr>
        <w:spacing w:line="600" w:lineRule="exact"/>
        <w:jc w:val="center"/>
        <w:rPr>
          <w:rFonts w:ascii="方正小标宋简体" w:hAnsi="宋体" w:eastAsia="方正小标宋简体"/>
          <w:color w:val="000000"/>
          <w:kern w:val="0"/>
          <w:sz w:val="44"/>
          <w:szCs w:val="44"/>
          <w:highlight w:val="none"/>
          <w:lang w:val="zh-CN"/>
        </w:rPr>
      </w:pPr>
      <w:r>
        <w:rPr>
          <w:rFonts w:ascii="方正小标宋简体" w:hAnsi="宋体" w:eastAsia="方正小标宋简体"/>
          <w:color w:val="000000"/>
          <w:kern w:val="0"/>
          <w:sz w:val="44"/>
          <w:szCs w:val="44"/>
          <w:highlight w:val="none"/>
        </w:rPr>
        <w:t>202</w:t>
      </w:r>
      <w:r>
        <w:rPr>
          <w:rFonts w:hint="eastAsia" w:ascii="方正小标宋简体" w:hAnsi="宋体" w:eastAsia="方正小标宋简体"/>
          <w:color w:val="000000"/>
          <w:kern w:val="0"/>
          <w:sz w:val="44"/>
          <w:szCs w:val="44"/>
          <w:highlight w:val="none"/>
          <w:lang w:val="en-US" w:eastAsia="zh-CN"/>
        </w:rPr>
        <w:t>1</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sz w:val="32"/>
          <w:szCs w:val="32"/>
          <w:highlight w:val="none"/>
          <w:lang w:val="zh-CN"/>
        </w:rPr>
      </w:pPr>
    </w:p>
    <w:p>
      <w:pPr>
        <w:adjustRightInd w:val="0"/>
        <w:snapToGrid w:val="0"/>
        <w:spacing w:line="600" w:lineRule="exact"/>
        <w:ind w:firstLine="720"/>
        <w:outlineLvl w:val="9"/>
        <w:rPr>
          <w:rFonts w:ascii="黑体" w:hAnsi="宋体" w:eastAsia="黑体"/>
          <w:sz w:val="32"/>
          <w:szCs w:val="32"/>
          <w:highlight w:val="none"/>
          <w:lang w:val="zh-CN"/>
        </w:rPr>
      </w:pPr>
      <w:bookmarkStart w:id="122" w:name="_Toc31360"/>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22"/>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农村公路是服务“三农”的公益性基础设施，是打赢脱贫攻坚战、实施乡村振兴战略的重要抓手。“要想富，先修路”，是人民群众长期以来的深刻体会和经验总结。多次对“四好农村路”建设作出重要部署，为农村公路发展提供了根本遵循和行动指南。</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4</w:t>
      </w:r>
      <w:r>
        <w:rPr>
          <w:rFonts w:hint="eastAsia" w:ascii="仿宋_GB2312" w:hAnsi="宋体" w:eastAsia="仿宋_GB2312"/>
          <w:sz w:val="32"/>
          <w:szCs w:val="32"/>
          <w:highlight w:val="none"/>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对华蓥市1114.3公里农村公路进行养护。</w:t>
      </w:r>
    </w:p>
    <w:p>
      <w:pPr>
        <w:adjustRightInd w:val="0"/>
        <w:snapToGrid w:val="0"/>
        <w:spacing w:line="600" w:lineRule="exact"/>
        <w:ind w:firstLine="720"/>
        <w:rPr>
          <w:rFonts w:hint="eastAsia"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对华蓥市1114.3公里农村公路进行养护。</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1、自评步骤。</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（1）年初制定工作计划，确定工作目标；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（3）年末对照工作目标，检查完成程度。</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2、自评方法。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highlight w:val="none"/>
        </w:rPr>
      </w:pPr>
      <w:bookmarkStart w:id="123" w:name="_Toc23297"/>
      <w:r>
        <w:rPr>
          <w:rFonts w:hint="eastAsia" w:ascii="黑体" w:hAnsi="宋体" w:eastAsia="黑体"/>
          <w:sz w:val="32"/>
          <w:szCs w:val="32"/>
          <w:highlight w:val="none"/>
        </w:rPr>
        <w:t>二、项目资金申报及使用情况</w:t>
      </w:r>
      <w:bookmarkEnd w:id="123"/>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年华蓥市财政局下达成品油税费改革用于农村公路养护</w:t>
      </w:r>
      <w:r>
        <w:rPr>
          <w:rFonts w:hint="eastAsia" w:ascii="仿宋_GB2312" w:hAnsi="宋体" w:eastAsia="仿宋_GB2312"/>
          <w:sz w:val="32"/>
          <w:szCs w:val="32"/>
          <w:highlight w:val="none"/>
          <w:lang w:val="en-US" w:eastAsia="zh-CN"/>
        </w:rPr>
        <w:t>补助</w:t>
      </w:r>
      <w:r>
        <w:rPr>
          <w:rFonts w:hint="eastAsia" w:ascii="仿宋_GB2312" w:hAnsi="宋体" w:eastAsia="仿宋_GB2312"/>
          <w:sz w:val="32"/>
          <w:szCs w:val="32"/>
          <w:highlight w:val="none"/>
          <w:lang w:val="zh-CN"/>
        </w:rPr>
        <w:t>120.1万元，符合资金管理办法等相关规定。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资金预算安排数为120.1万元。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截至评价时点实际到位资金120.1万元，所有资金均按时到位，到位比例100%。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截至评价时点，已拨付资金120.1万元，全部用于了</w:t>
      </w:r>
      <w:r>
        <w:rPr>
          <w:rFonts w:hint="eastAsia" w:ascii="仿宋_GB2312" w:hAnsi="宋体" w:eastAsia="仿宋_GB2312"/>
          <w:sz w:val="32"/>
          <w:szCs w:val="32"/>
          <w:highlight w:val="none"/>
          <w:lang w:val="en-US" w:eastAsia="zh-CN"/>
        </w:rPr>
        <w:t>农村公路日常养护</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highlight w:val="none"/>
        </w:rPr>
      </w:pPr>
      <w:bookmarkStart w:id="124" w:name="_Toc27860"/>
      <w:r>
        <w:rPr>
          <w:rFonts w:hint="eastAsia" w:ascii="黑体" w:hAnsi="宋体" w:eastAsia="黑体"/>
          <w:sz w:val="32"/>
          <w:szCs w:val="32"/>
          <w:highlight w:val="none"/>
        </w:rPr>
        <w:t>三、项目实施及管理情况</w:t>
      </w:r>
      <w:bookmarkEnd w:id="124"/>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（三）项目监管情况。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highlight w:val="none"/>
          <w:lang w:val="zh-CN"/>
        </w:rPr>
      </w:pPr>
      <w:bookmarkStart w:id="125" w:name="_Toc20037"/>
      <w:r>
        <w:rPr>
          <w:rFonts w:hint="eastAsia" w:ascii="黑体" w:hAnsi="宋体" w:eastAsia="黑体"/>
          <w:sz w:val="32"/>
          <w:szCs w:val="32"/>
          <w:highlight w:val="none"/>
        </w:rPr>
        <w:t>四、项目绩效情况</w:t>
      </w:r>
      <w:bookmarkEnd w:id="125"/>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农村公路日常养护</w:t>
      </w:r>
      <w:r>
        <w:rPr>
          <w:rFonts w:hint="eastAsia" w:ascii="仿宋_GB2312" w:hAnsi="宋体" w:eastAsia="仿宋_GB2312"/>
          <w:sz w:val="32"/>
          <w:szCs w:val="32"/>
          <w:highlight w:val="none"/>
          <w:lang w:val="zh-CN"/>
        </w:rPr>
        <w:t>项目在市委市政府的坚强领导下，较为圆满地完成了各项目标任务：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1、项目数量指标评价。已完成1114.3公里农村公路养护，占目标任务的100%，已达成数量预期指标。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本项目的实施最大化实现了经济效益、社会效益、生态效益，可持续发展目标，满足群众出行要求，保障了群众生命安全：</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1、项目实施的</w:t>
      </w:r>
      <w:r>
        <w:rPr>
          <w:rFonts w:hint="eastAsia" w:ascii="仿宋_GB2312" w:hAnsi="宋体" w:eastAsia="仿宋_GB2312"/>
          <w:sz w:val="32"/>
          <w:szCs w:val="32"/>
          <w:highlight w:val="none"/>
          <w:lang w:val="en-US" w:eastAsia="zh-CN"/>
        </w:rPr>
        <w:t>经济、社会</w:t>
      </w:r>
      <w:r>
        <w:rPr>
          <w:rFonts w:hint="eastAsia" w:ascii="仿宋_GB2312" w:hAnsi="宋体" w:eastAsia="仿宋_GB2312"/>
          <w:sz w:val="32"/>
          <w:szCs w:val="32"/>
          <w:highlight w:val="none"/>
          <w:lang w:val="zh-CN"/>
        </w:rPr>
        <w:t>效益分析。加强路面保洁，组织养护人员上路清理落叶、石子、塑料袋等路面垃圾杂物；清理路肩边沟，保持道路沿线环境整洁畅通；同时，加强路面洒水、湿扫作业，降尘、抑尘，减少道路扬尘，增效大气污染防治工作，改善空气质量，</w:t>
      </w:r>
      <w:r>
        <w:rPr>
          <w:rFonts w:hint="eastAsia" w:ascii="仿宋_GB2312" w:hAnsi="宋体" w:eastAsia="仿宋_GB2312"/>
          <w:sz w:val="32"/>
          <w:szCs w:val="32"/>
          <w:highlight w:val="none"/>
          <w:lang w:val="en-US" w:eastAsia="zh-CN"/>
        </w:rPr>
        <w:t>将</w:t>
      </w:r>
      <w:r>
        <w:rPr>
          <w:rFonts w:hint="eastAsia" w:ascii="仿宋_GB2312" w:hAnsi="宋体" w:eastAsia="仿宋_GB2312"/>
          <w:sz w:val="32"/>
          <w:szCs w:val="32"/>
          <w:highlight w:val="none"/>
          <w:lang w:val="zh-CN"/>
        </w:rPr>
        <w:t>全面加强农村公路养护与管理，全力打造良好的通行环境，提升群众的幸福感、获得感。</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rPr>
        <w:t>、项目实施的生态效益分析。项目实施过程中按照文明施工要求，加强了环境保护，确保了道路洁美，极大减少了对环境的污染破坏。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rPr>
        <w:t>、项目实施的可持续影响分析。本项目将在设计寿命周期内持续发挥基础设施作用，长效保障人民群众出行便利。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rPr>
        <w:t>、满意度指标完成情况分析。本项目的实施为群众的生产、生活、出行带来了极大的便利，提升了民众出行的幸福感、获得感。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highlight w:val="none"/>
        </w:rPr>
      </w:pPr>
      <w:bookmarkStart w:id="126" w:name="_Toc4708"/>
      <w:r>
        <w:rPr>
          <w:rFonts w:hint="eastAsia" w:ascii="黑体" w:hAnsi="宋体" w:eastAsia="黑体"/>
          <w:sz w:val="32"/>
          <w:szCs w:val="32"/>
          <w:highlight w:val="none"/>
        </w:rPr>
        <w:t>五、评价结论及建议</w:t>
      </w:r>
      <w:bookmarkEnd w:id="126"/>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adjustRightInd w:val="0"/>
        <w:snapToGrid w:val="0"/>
        <w:spacing w:line="600" w:lineRule="exact"/>
        <w:ind w:firstLine="640" w:firstLineChars="200"/>
        <w:rPr>
          <w:rFonts w:ascii="仿宋_GB2312" w:hAnsi="宋体" w:eastAsia="仿宋_GB2312"/>
          <w:sz w:val="32"/>
          <w:szCs w:val="32"/>
          <w:highlight w:val="none"/>
          <w:bdr w:val="single" w:color="auto" w:sz="4" w:space="0"/>
          <w:lang w:val="zh-CN"/>
        </w:rPr>
      </w:pPr>
      <w:r>
        <w:rPr>
          <w:rFonts w:hint="eastAsia" w:ascii="仿宋_GB2312" w:hAnsi="宋体" w:eastAsia="仿宋_GB2312"/>
          <w:sz w:val="32"/>
          <w:szCs w:val="32"/>
          <w:highlight w:val="none"/>
          <w:lang w:val="zh-CN"/>
        </w:rPr>
        <w:t>农村公路</w:t>
      </w:r>
      <w:r>
        <w:rPr>
          <w:rFonts w:hint="eastAsia" w:ascii="仿宋_GB2312" w:hAnsi="宋体" w:eastAsia="仿宋_GB2312"/>
          <w:sz w:val="32"/>
          <w:szCs w:val="32"/>
          <w:highlight w:val="none"/>
          <w:lang w:val="en-US" w:eastAsia="zh-CN"/>
        </w:rPr>
        <w:t>日常养护项目</w:t>
      </w:r>
      <w:r>
        <w:rPr>
          <w:rFonts w:hint="eastAsia" w:ascii="仿宋_GB2312" w:hAnsi="宋体" w:eastAsia="仿宋_GB2312"/>
          <w:sz w:val="32"/>
          <w:szCs w:val="32"/>
          <w:highlight w:val="none"/>
          <w:lang w:val="zh-CN"/>
        </w:rPr>
        <w:t>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adjustRightInd w:val="0"/>
        <w:snapToGrid w:val="0"/>
        <w:spacing w:line="600" w:lineRule="exact"/>
        <w:ind w:firstLine="640" w:firstLineChars="2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项目实施过程中尚有不足之处，主要是农村村公路养护管理机制还有待进一步完善。</w:t>
      </w:r>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针对存在的问题，我们将通过制度建设、创新机制、规范管理，进一步完善现有的管理办法、村级公路养护管理机制，形成建设管理一体化工作机制。同时，建议继续加大对农村道路建设养护经费的投入。</w:t>
      </w:r>
    </w:p>
    <w:p>
      <w:pPr>
        <w:rPr>
          <w:rFonts w:hint="eastAsia"/>
        </w:rPr>
      </w:pPr>
      <w:r>
        <w:rPr>
          <w:rFonts w:hint="eastAsia"/>
        </w:rPr>
        <w:br w:type="page"/>
      </w:r>
    </w:p>
    <w:p>
      <w:pPr>
        <w:spacing w:line="600" w:lineRule="exact"/>
        <w:jc w:val="center"/>
        <w:outlineLvl w:val="9"/>
        <w:rPr>
          <w:rFonts w:ascii="方正小标宋简体" w:hAnsi="宋体" w:eastAsia="方正小标宋简体"/>
          <w:color w:val="000000"/>
          <w:kern w:val="0"/>
          <w:sz w:val="44"/>
          <w:szCs w:val="44"/>
          <w:highlight w:val="none"/>
          <w:lang w:val="zh-CN"/>
        </w:rPr>
      </w:pPr>
      <w:bookmarkStart w:id="127" w:name="_Toc17693"/>
      <w:r>
        <w:rPr>
          <w:rFonts w:hint="eastAsia" w:ascii="方正小标宋简体" w:hAnsi="宋体" w:eastAsia="方正小标宋简体"/>
          <w:color w:val="000000"/>
          <w:kern w:val="0"/>
          <w:sz w:val="44"/>
          <w:szCs w:val="44"/>
          <w:highlight w:val="none"/>
          <w:lang w:eastAsia="zh-CN"/>
        </w:rPr>
        <w:t>取消政府还贷二级公路收费用于交通建设项目</w:t>
      </w:r>
      <w:r>
        <w:rPr>
          <w:rFonts w:ascii="方正小标宋简体" w:hAnsi="宋体" w:eastAsia="方正小标宋简体"/>
          <w:color w:val="000000"/>
          <w:kern w:val="0"/>
          <w:sz w:val="44"/>
          <w:szCs w:val="44"/>
          <w:highlight w:val="none"/>
        </w:rPr>
        <w:t>202</w:t>
      </w:r>
      <w:r>
        <w:rPr>
          <w:rFonts w:hint="eastAsia" w:ascii="方正小标宋简体" w:hAnsi="宋体" w:eastAsia="方正小标宋简体"/>
          <w:color w:val="000000"/>
          <w:kern w:val="0"/>
          <w:sz w:val="44"/>
          <w:szCs w:val="44"/>
          <w:highlight w:val="none"/>
          <w:lang w:val="en-US" w:eastAsia="zh-CN"/>
        </w:rPr>
        <w:t>1</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绩效评价报告</w:t>
      </w:r>
      <w:bookmarkEnd w:id="127"/>
    </w:p>
    <w:p>
      <w:pPr>
        <w:spacing w:line="600" w:lineRule="exact"/>
        <w:rPr>
          <w:rFonts w:ascii="宋体"/>
          <w:sz w:val="32"/>
          <w:szCs w:val="32"/>
          <w:highlight w:val="none"/>
          <w:lang w:val="zh-CN"/>
        </w:rPr>
      </w:pPr>
    </w:p>
    <w:p>
      <w:pPr>
        <w:adjustRightInd w:val="0"/>
        <w:snapToGrid w:val="0"/>
        <w:spacing w:line="600" w:lineRule="exact"/>
        <w:ind w:firstLine="720"/>
        <w:outlineLvl w:val="9"/>
        <w:rPr>
          <w:rFonts w:ascii="黑体" w:hAnsi="宋体" w:eastAsia="黑体"/>
          <w:sz w:val="32"/>
          <w:szCs w:val="32"/>
          <w:highlight w:val="none"/>
          <w:lang w:val="zh-CN"/>
        </w:rPr>
      </w:pPr>
      <w:bookmarkStart w:id="128" w:name="_Toc1801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28"/>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．项目主管部门在该项目管理中的职能。</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华蓥市交通运输局负责评价项目是否符合本市公路交通行业发展规划和年度投资计划；负责审查项目前期申报和做好后期评价工作；负责监督、指导项目按规范进行公开招标、政府采购或村民自建，维护交通建设平等竞争秩序；负责监督项目工程质量、项目实施进度及合同管理工作；负责项目设计文件的审查工作；负责承担项目行政审批事项实施情况的监督检查工作。</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．项目立项、资金申报的依据。</w:t>
      </w:r>
    </w:p>
    <w:p>
      <w:pPr>
        <w:adjustRightInd w:val="0"/>
        <w:snapToGrid w:val="0"/>
        <w:spacing w:line="600" w:lineRule="exact"/>
        <w:ind w:firstLine="72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rPr>
        <w:t>本项目的实施旨在通过建设，持续提高农村公路服务水平，丰富农村公路品质内涵，全力营造“畅、安、舒、绿、美”的农村交通环境，全力打造幸福美丽乡村路，为打赢脱贫攻坚战、实施乡村振兴战略和加快农业农村现代化提供强有力的交通运输保障。</w:t>
      </w:r>
      <w:r>
        <w:rPr>
          <w:rFonts w:hint="eastAsia" w:ascii="仿宋_GB2312" w:hAnsi="宋体" w:eastAsia="仿宋_GB2312"/>
          <w:sz w:val="32"/>
          <w:szCs w:val="32"/>
          <w:highlight w:val="none"/>
          <w:lang w:val="en-US" w:eastAsia="zh-CN"/>
        </w:rPr>
        <w:t xml:space="preserve">  </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．资金管理办法制定情况。</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（1）资金管理办法：该项目资金纳入财政预算管理；</w:t>
      </w:r>
    </w:p>
    <w:p>
      <w:pPr>
        <w:adjustRightInd w:val="0"/>
        <w:snapToGrid w:val="0"/>
        <w:spacing w:line="600" w:lineRule="exact"/>
        <w:ind w:left="210" w:leftChars="100" w:firstLine="320" w:firstLineChars="10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（2）资金支持具体项目的条件、范围：该专项资金作为农村公路建设资金，属于财政拨款支出-建设资金支出范围；</w:t>
      </w:r>
    </w:p>
    <w:p>
      <w:pPr>
        <w:adjustRightInd w:val="0"/>
        <w:snapToGrid w:val="0"/>
        <w:spacing w:line="600" w:lineRule="exact"/>
        <w:ind w:left="210" w:leftChars="100" w:firstLine="320" w:firstLineChars="1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（3）资金支持方式：工程进度款按每月核定已经完成并经检验合格的工程量计算价款的一定比例进行计算拨付。</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4</w:t>
      </w:r>
      <w:r>
        <w:rPr>
          <w:rFonts w:hint="eastAsia" w:ascii="仿宋_GB2312" w:hAnsi="宋体" w:eastAsia="仿宋_GB2312"/>
          <w:sz w:val="32"/>
          <w:szCs w:val="32"/>
          <w:highlight w:val="none"/>
          <w:lang w:val="zh-CN"/>
        </w:rPr>
        <w:t>．资金分配的原则及考虑因素。</w:t>
      </w:r>
    </w:p>
    <w:p>
      <w:pPr>
        <w:adjustRightInd w:val="0"/>
        <w:snapToGrid w:val="0"/>
        <w:spacing w:line="600" w:lineRule="exact"/>
        <w:ind w:firstLine="480" w:firstLineChars="15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（1）资金分配的原则：本项目资金分配遵循公平、公正及均衡性原则；</w:t>
      </w:r>
    </w:p>
    <w:p>
      <w:pPr>
        <w:adjustRightInd w:val="0"/>
        <w:snapToGrid w:val="0"/>
        <w:spacing w:line="600" w:lineRule="exact"/>
        <w:ind w:firstLine="480" w:firstLineChars="15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（2）考虑因素：充分考虑项目实施地点地域条件、经济条件等因素，综合考量施工所需的人工费、材料费、机械费、管理费等费用，再对资金进行分配。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1</w:t>
      </w:r>
      <w:r>
        <w:rPr>
          <w:rFonts w:hint="eastAsia" w:ascii="仿宋_GB2312" w:hAnsi="宋体" w:eastAsia="仿宋_GB2312"/>
          <w:sz w:val="32"/>
          <w:szCs w:val="32"/>
          <w:highlight w:val="none"/>
          <w:lang w:val="zh-CN"/>
        </w:rPr>
        <w:t>．项目主要内容：</w:t>
      </w:r>
      <w:r>
        <w:rPr>
          <w:rFonts w:hint="eastAsia" w:ascii="仿宋_GB2312" w:hAnsi="宋体" w:eastAsia="仿宋_GB2312"/>
          <w:sz w:val="32"/>
          <w:szCs w:val="32"/>
          <w:highlight w:val="none"/>
          <w:lang w:val="zh-CN" w:eastAsia="zh-CN"/>
        </w:rPr>
        <w:t>天池至禄市道路扩宽</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lang w:val="zh-CN" w:eastAsia="zh-CN"/>
        </w:rPr>
        <w:t>0.9公里。</w:t>
      </w:r>
    </w:p>
    <w:p>
      <w:pPr>
        <w:adjustRightInd w:val="0"/>
        <w:snapToGrid w:val="0"/>
        <w:spacing w:line="600" w:lineRule="exact"/>
        <w:ind w:firstLine="720"/>
        <w:rPr>
          <w:rFonts w:hint="eastAsia" w:ascii="仿宋_GB2312" w:hAnsi="宋体" w:eastAsia="仿宋_GB2312"/>
          <w:sz w:val="32"/>
          <w:szCs w:val="32"/>
          <w:highlight w:val="none"/>
          <w:lang w:val="zh-CN" w:eastAsia="zh-CN"/>
        </w:rPr>
      </w:pPr>
      <w:r>
        <w:rPr>
          <w:rFonts w:ascii="仿宋_GB2312" w:hAnsi="宋体" w:eastAsia="仿宋_GB2312"/>
          <w:sz w:val="32"/>
          <w:szCs w:val="32"/>
          <w:highlight w:val="none"/>
          <w:lang w:val="zh-CN"/>
        </w:rPr>
        <w:t>2</w:t>
      </w:r>
      <w:r>
        <w:rPr>
          <w:rFonts w:hint="eastAsia" w:ascii="仿宋_GB2312" w:hAnsi="宋体" w:eastAsia="仿宋_GB2312"/>
          <w:sz w:val="32"/>
          <w:szCs w:val="32"/>
          <w:highlight w:val="none"/>
          <w:lang w:val="zh-CN"/>
        </w:rPr>
        <w:t>．项目具体绩效目标。</w:t>
      </w:r>
      <w:r>
        <w:rPr>
          <w:rFonts w:hint="eastAsia" w:ascii="仿宋_GB2312" w:hAnsi="宋体" w:eastAsia="仿宋_GB2312"/>
          <w:sz w:val="32"/>
          <w:szCs w:val="32"/>
          <w:highlight w:val="none"/>
          <w:lang w:val="zh-CN" w:eastAsia="zh-CN"/>
        </w:rPr>
        <w:t>天池至禄市道路扩宽</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lang w:val="zh-CN" w:eastAsia="zh-CN"/>
        </w:rPr>
        <w:t>0.9公里。</w:t>
      </w:r>
    </w:p>
    <w:p>
      <w:pPr>
        <w:adjustRightInd w:val="0"/>
        <w:snapToGrid w:val="0"/>
        <w:spacing w:line="600" w:lineRule="exact"/>
        <w:ind w:firstLine="720"/>
        <w:rPr>
          <w:rFonts w:ascii="仿宋_GB2312" w:hAnsi="宋体" w:eastAsia="仿宋_GB2312"/>
          <w:sz w:val="32"/>
          <w:szCs w:val="32"/>
          <w:highlight w:val="none"/>
          <w:lang w:val="zh-CN"/>
        </w:rPr>
      </w:pPr>
      <w:r>
        <w:rPr>
          <w:rFonts w:ascii="仿宋_GB2312" w:hAnsi="宋体" w:eastAsia="仿宋_GB2312"/>
          <w:sz w:val="32"/>
          <w:szCs w:val="32"/>
          <w:highlight w:val="none"/>
          <w:lang w:val="zh-CN"/>
        </w:rPr>
        <w:t>3</w:t>
      </w:r>
      <w:r>
        <w:rPr>
          <w:rFonts w:hint="eastAsia" w:ascii="仿宋_GB2312" w:hAnsi="宋体" w:eastAsia="仿宋_GB2312"/>
          <w:sz w:val="32"/>
          <w:szCs w:val="32"/>
          <w:highlight w:val="none"/>
          <w:lang w:val="zh-CN"/>
        </w:rPr>
        <w:t>．分析评价。向财政申报的资金内容与具体实施内容相符，申报的项目目标合理可行，符合资金管理办法等相关规定。</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1、自评步骤。</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（1）年初制定工作计划，确定工作目标；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（2）全年对照工作计划，按期完成工作任务；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（3）年末对照工作目标，检查完成程度。</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2、自评方法。</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对项目开展验收工作，对目标任务及实际建设内容进行多次复核，逐项细致分析项目完成数量、完成质量、实施进度、成本节约情况等产出指标的完成情况，并逐项细致评价项目实施的经济效益、社会效益、生态效益、可持续影响、受益群众满意度等效益指标，最后综合得出该项目绩效自评结论。</w:t>
      </w:r>
    </w:p>
    <w:p>
      <w:pPr>
        <w:adjustRightInd w:val="0"/>
        <w:snapToGrid w:val="0"/>
        <w:spacing w:line="600" w:lineRule="exact"/>
        <w:ind w:firstLine="720"/>
        <w:outlineLvl w:val="9"/>
        <w:rPr>
          <w:rFonts w:ascii="黑体" w:hAnsi="宋体" w:eastAsia="黑体"/>
          <w:sz w:val="32"/>
          <w:szCs w:val="32"/>
          <w:highlight w:val="none"/>
        </w:rPr>
      </w:pPr>
      <w:bookmarkStart w:id="129" w:name="_Toc29242"/>
      <w:r>
        <w:rPr>
          <w:rFonts w:hint="eastAsia" w:ascii="黑体" w:hAnsi="宋体" w:eastAsia="黑体"/>
          <w:sz w:val="32"/>
          <w:szCs w:val="32"/>
          <w:highlight w:val="none"/>
        </w:rPr>
        <w:t>二、项目资金申报及使用情况</w:t>
      </w:r>
      <w:bookmarkEnd w:id="129"/>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rPr>
        <w:t>年华蓥市财政局下达取消政府还贷二级公路收费用于交通建设项目</w:t>
      </w:r>
      <w:r>
        <w:rPr>
          <w:rFonts w:hint="eastAsia" w:ascii="仿宋_GB2312" w:hAnsi="宋体" w:eastAsia="仿宋_GB2312"/>
          <w:sz w:val="32"/>
          <w:szCs w:val="32"/>
          <w:highlight w:val="none"/>
          <w:lang w:val="en-US" w:eastAsia="zh-CN"/>
        </w:rPr>
        <w:t>补助</w:t>
      </w:r>
      <w:r>
        <w:rPr>
          <w:rFonts w:hint="eastAsia" w:ascii="仿宋_GB2312" w:hAnsi="宋体" w:eastAsia="仿宋_GB2312"/>
          <w:sz w:val="32"/>
          <w:szCs w:val="32"/>
          <w:highlight w:val="none"/>
          <w:lang w:val="zh-CN"/>
        </w:rPr>
        <w:t>284.8万元，符合资金管理办法等相关规定。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楷体_GB2312" w:hAnsi="宋体" w:eastAsia="楷体_GB2312"/>
          <w:b/>
          <w:sz w:val="32"/>
          <w:szCs w:val="32"/>
          <w:highlight w:val="none"/>
          <w:lang w:val="zh-CN"/>
        </w:rPr>
        <w:t>（二）资金计划、到位及使用情况。</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1</w:t>
      </w:r>
      <w:r>
        <w:rPr>
          <w:rFonts w:hint="eastAsia" w:ascii="楷体_GB2312" w:hAnsi="宋体" w:eastAsia="楷体_GB2312"/>
          <w:sz w:val="32"/>
          <w:szCs w:val="32"/>
          <w:highlight w:val="none"/>
          <w:lang w:val="zh-CN"/>
        </w:rPr>
        <w:t>．资金计划。</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资金预算安排数为284.8万元。</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2</w:t>
      </w:r>
      <w:r>
        <w:rPr>
          <w:rFonts w:hint="eastAsia" w:ascii="楷体_GB2312" w:hAnsi="宋体" w:eastAsia="楷体_GB2312"/>
          <w:sz w:val="32"/>
          <w:szCs w:val="32"/>
          <w:highlight w:val="none"/>
          <w:lang w:val="zh-CN"/>
        </w:rPr>
        <w:t>．资金到位。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截至评价时点实际到位资金284.8万元，所有资金均按时到位，到位比例100%。</w:t>
      </w:r>
    </w:p>
    <w:p>
      <w:pPr>
        <w:adjustRightInd w:val="0"/>
        <w:snapToGrid w:val="0"/>
        <w:spacing w:line="600" w:lineRule="exact"/>
        <w:ind w:firstLine="720"/>
        <w:rPr>
          <w:rFonts w:ascii="楷体_GB2312" w:hAnsi="宋体" w:eastAsia="楷体_GB2312"/>
          <w:sz w:val="32"/>
          <w:szCs w:val="32"/>
          <w:highlight w:val="none"/>
          <w:lang w:val="zh-CN"/>
        </w:rPr>
      </w:pPr>
      <w:r>
        <w:rPr>
          <w:rFonts w:ascii="楷体_GB2312" w:hAnsi="宋体" w:eastAsia="楷体_GB2312"/>
          <w:sz w:val="32"/>
          <w:szCs w:val="32"/>
          <w:highlight w:val="none"/>
          <w:lang w:val="zh-CN"/>
        </w:rPr>
        <w:t>3</w:t>
      </w:r>
      <w:r>
        <w:rPr>
          <w:rFonts w:hint="eastAsia" w:ascii="楷体_GB2312" w:hAnsi="宋体" w:eastAsia="楷体_GB2312"/>
          <w:sz w:val="32"/>
          <w:szCs w:val="32"/>
          <w:highlight w:val="none"/>
          <w:lang w:val="zh-CN"/>
        </w:rPr>
        <w:t>．资金使用。</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截至评价时点，已拨付资金284.8万元，全部用于了</w:t>
      </w:r>
      <w:r>
        <w:rPr>
          <w:rFonts w:hint="eastAsia" w:ascii="仿宋_GB2312" w:hAnsi="宋体" w:eastAsia="仿宋_GB2312"/>
          <w:sz w:val="32"/>
          <w:szCs w:val="32"/>
          <w:highlight w:val="none"/>
          <w:lang w:val="zh-CN" w:eastAsia="zh-CN"/>
        </w:rPr>
        <w:t>天池至禄市道路扩宽</w:t>
      </w:r>
      <w:r>
        <w:rPr>
          <w:rFonts w:hint="eastAsia" w:ascii="仿宋_GB2312" w:hAnsi="宋体" w:eastAsia="仿宋_GB2312"/>
          <w:sz w:val="32"/>
          <w:szCs w:val="32"/>
          <w:highlight w:val="none"/>
          <w:lang w:val="en-US" w:eastAsia="zh-CN"/>
        </w:rPr>
        <w:t>项目建设</w:t>
      </w:r>
      <w:r>
        <w:rPr>
          <w:rFonts w:hint="eastAsia" w:ascii="仿宋_GB2312" w:hAnsi="宋体" w:eastAsia="仿宋_GB2312"/>
          <w:sz w:val="32"/>
          <w:szCs w:val="32"/>
          <w:highlight w:val="none"/>
          <w:lang w:val="zh-CN"/>
        </w:rPr>
        <w:t>，拨付比例100%，我单位按时按要求完成了资金的拨付，支付依据合规合法，资金支付与预算相符。</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在项目财务管理方面，严守财务管理制度以及有关资金管理办法的规定，努力强化责任意识，建立健全管理制度，坚持专款专用，严禁任何单位和个人截留、挪用，定期调度资金拨付情况，提高预算执行效率和资金使用效益，确保资金使用安全。</w:t>
      </w:r>
    </w:p>
    <w:p>
      <w:pPr>
        <w:adjustRightInd w:val="0"/>
        <w:snapToGrid w:val="0"/>
        <w:spacing w:line="600" w:lineRule="exact"/>
        <w:ind w:firstLine="720"/>
        <w:outlineLvl w:val="9"/>
        <w:rPr>
          <w:rFonts w:ascii="黑体" w:hAnsi="宋体" w:eastAsia="黑体"/>
          <w:sz w:val="32"/>
          <w:szCs w:val="32"/>
          <w:highlight w:val="none"/>
        </w:rPr>
      </w:pPr>
      <w:bookmarkStart w:id="130" w:name="_Toc11248"/>
      <w:r>
        <w:rPr>
          <w:rFonts w:hint="eastAsia" w:ascii="黑体" w:hAnsi="宋体" w:eastAsia="黑体"/>
          <w:sz w:val="32"/>
          <w:szCs w:val="32"/>
          <w:highlight w:val="none"/>
        </w:rPr>
        <w:t>三、项目实施及管理情况</w:t>
      </w:r>
      <w:bookmarkEnd w:id="130"/>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（一）项目组织架构及实施流程。</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我单位农村公路建设项目一般采用公开招标、政府采购或村民自建的方式组织实施：</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建设若采取村民自建方式实施，须由村民代表会议民主选举产生的项目管理小组（项目理事会）作为项目实施主体，主要负责施工组织、材料采购、财务管理等，村委会是项目的责任主体，主要负责监督项目管理小组（项目理事会）、协调建设条件、审查账务、资金落实、后期管护等，村支两委主要负责人不能参加项目管理小组（项目理事会）；</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2、项目达到公开招标规模，项目业主应按照《中华人民共和国招标投标法》，通过公开招标的方式选择施工、监理等单位，严禁非法分包、转包项目；</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3、项目在集中采购目录以内的或者分散采购限额标准以上、公开招标规模以下的，项目业主应按照《中华人民共和国政府采购法》，通过集中采购或分散采购的方式选择施工、监理等单位；</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4、项目不在集中采购目录以内且在分散采购限额标准以下的，项目业主应通过自行采购的方式选择施工、监理等单位。</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（二）项目管理情况。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由于交通项目数量众多、覆盖面广，专业技术管理人员严重不够，我单位采取分片区管理原则，一个片区分派2名业主代表（分为A、B岗），具体对施工过程进行现场管理，对质量、进度、安全、成本严格管理。</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（三）项目监管情况。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完工后，我局首先组织施工单位、局纪委、业主代表对工程质量进行自检，然后聘请第三方检测机构进行检查，严格执行工程质量不合格，坚决不验收的方针。项目监管工作的重点是：工程质量、工程进度和工程安全，项目业主应做好项目的组织协调工作，做好过程监督，确保项目按合同约定的工期、投资和质量要求完成。主要有以下几个方面：</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1、审查监理、施工单位的资格和质量保证条件；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2、组织和建立本项目的质量控制体系，完善质量保证体系；</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3、对工程质量进行跟踪、检查、监督、控制；</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4、建立健全质量事故报告、处置制度；</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5、督促、检查工程建设是否符合设计图纸要求；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6、督促、检查工程建设是否符合国家有关的规范要求；</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7、督促、检查工程材料是否符合要求，建筑材料严格按照ISO质量管理体系，做到每个用料环节的可追溯性，建筑材料购买需要有厂家质量合格证，进入料库的材料要有明确标示，材料出入库要有登记记录，砼检测要有质检报告，从建筑材料质量源头保证施工质量的前提；</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8、严格质量检测程序严格做好工程质量检测，每道检测程序必须要质检工程师签字方能进行下道工序，做好隐蔽工程的检测工作；</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9、竣工验收时要有规范的验收报告和竣工资料，并做好存档保存工作。</w:t>
      </w:r>
    </w:p>
    <w:p>
      <w:pPr>
        <w:adjustRightInd w:val="0"/>
        <w:snapToGrid w:val="0"/>
        <w:spacing w:line="600" w:lineRule="exact"/>
        <w:ind w:firstLine="720"/>
        <w:outlineLvl w:val="9"/>
        <w:rPr>
          <w:rFonts w:ascii="仿宋_GB2312" w:hAnsi="宋体" w:eastAsia="仿宋_GB2312"/>
          <w:sz w:val="32"/>
          <w:szCs w:val="32"/>
          <w:highlight w:val="none"/>
          <w:lang w:val="zh-CN"/>
        </w:rPr>
      </w:pPr>
      <w:bookmarkStart w:id="131" w:name="_Toc8830"/>
      <w:r>
        <w:rPr>
          <w:rFonts w:hint="eastAsia" w:ascii="黑体" w:hAnsi="宋体" w:eastAsia="黑体"/>
          <w:sz w:val="32"/>
          <w:szCs w:val="32"/>
          <w:highlight w:val="none"/>
        </w:rPr>
        <w:t>四、项目绩效情况</w:t>
      </w:r>
      <w:bookmarkEnd w:id="131"/>
      <w:r>
        <w:rPr>
          <w:rFonts w:ascii="仿宋_GB2312" w:hAnsi="宋体" w:eastAsia="仿宋_GB2312"/>
          <w:sz w:val="32"/>
          <w:szCs w:val="32"/>
          <w:highlight w:val="none"/>
          <w:lang w:val="zh-CN"/>
        </w:rPr>
        <w:tab/>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取消政府还贷二级公路收费用于交通建设项目</w:t>
      </w:r>
      <w:r>
        <w:rPr>
          <w:rFonts w:hint="eastAsia" w:ascii="仿宋_GB2312" w:hAnsi="宋体" w:eastAsia="仿宋_GB2312"/>
          <w:sz w:val="32"/>
          <w:szCs w:val="32"/>
          <w:highlight w:val="none"/>
          <w:lang w:val="zh-CN"/>
        </w:rPr>
        <w:t>在市委市政府的坚强领导下，较为圆满地完成了各项目标任务：</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1、项目数量指标评价。已完成</w:t>
      </w:r>
      <w:r>
        <w:rPr>
          <w:rFonts w:hint="eastAsia" w:ascii="仿宋_GB2312" w:hAnsi="宋体" w:eastAsia="仿宋_GB2312"/>
          <w:sz w:val="32"/>
          <w:szCs w:val="32"/>
          <w:highlight w:val="none"/>
          <w:lang w:val="zh-CN" w:eastAsia="zh-CN"/>
        </w:rPr>
        <w:t>天池至禄市道路扩宽</w:t>
      </w:r>
      <w:r>
        <w:rPr>
          <w:rFonts w:hint="eastAsia" w:ascii="仿宋_GB2312" w:hAnsi="宋体" w:eastAsia="仿宋_GB2312"/>
          <w:sz w:val="32"/>
          <w:szCs w:val="32"/>
          <w:highlight w:val="none"/>
          <w:lang w:val="en-US" w:eastAsia="zh-CN"/>
        </w:rPr>
        <w:t>0.9公里建设</w:t>
      </w:r>
      <w:r>
        <w:rPr>
          <w:rFonts w:hint="eastAsia" w:ascii="仿宋_GB2312" w:hAnsi="宋体" w:eastAsia="仿宋_GB2312"/>
          <w:sz w:val="32"/>
          <w:szCs w:val="32"/>
          <w:highlight w:val="none"/>
          <w:lang w:val="zh-CN"/>
        </w:rPr>
        <w:t>，占目标任务的100%，已达成数量预期指标。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2、项目质量指标评价。项目验收合格率100%，已达成质量预期指标。</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3、项目时效指标评价。项目已按期完工，项目完成及时率100%，已达成时效预期指标。</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zh-CN"/>
        </w:rPr>
        <w:t>4、项目成本指标评价。我单位坚持按照全面控制、责权利相结合的原则,用目标管理方法对实际施工成本的发生过程进行了有效控制，同时督促项目承建单位加强施工调度,避免因施工计划不周和盲目调度造成窝工损失、机械利用率降低、物料积压等而使施工成本增加，有效的节约了项目成本，已达成成本预期指标。</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本项目的实施最大化实现了经济效益、社会效益、生态效益，可持续发展目标，满足群众出行要求，保障了群众生命安全：</w:t>
      </w:r>
    </w:p>
    <w:p>
      <w:pPr>
        <w:numPr>
          <w:ilvl w:val="0"/>
          <w:numId w:val="6"/>
        </w:num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项目实施的</w:t>
      </w:r>
      <w:r>
        <w:rPr>
          <w:rFonts w:hint="eastAsia" w:ascii="仿宋_GB2312" w:hAnsi="宋体" w:eastAsia="仿宋_GB2312"/>
          <w:sz w:val="32"/>
          <w:szCs w:val="32"/>
          <w:highlight w:val="none"/>
          <w:lang w:val="en-US" w:eastAsia="zh-CN"/>
        </w:rPr>
        <w:t>经济、社会</w:t>
      </w:r>
      <w:r>
        <w:rPr>
          <w:rFonts w:hint="eastAsia" w:ascii="仿宋_GB2312" w:hAnsi="宋体" w:eastAsia="仿宋_GB2312"/>
          <w:sz w:val="32"/>
          <w:szCs w:val="32"/>
          <w:highlight w:val="none"/>
          <w:lang w:val="zh-CN"/>
        </w:rPr>
        <w:t>效益分析。</w:t>
      </w:r>
      <w:r>
        <w:rPr>
          <w:rFonts w:hint="eastAsia" w:ascii="仿宋_GB2312" w:hAnsi="宋体" w:eastAsia="仿宋_GB2312"/>
          <w:sz w:val="32"/>
          <w:szCs w:val="32"/>
          <w:lang w:val="zh-CN"/>
        </w:rPr>
        <w:t>项目的实施，最大限度的缓解了农民出行难的问题，同时项目的实施还增强了农村公路路网通行能力，随着农村公路网络的进一步完善，农村客货运输也将进一步加强，尤其是城乡客运会随着农村公路通达深度的提高而逐步延伸，将为当地百姓带来人流、物流、信息流，使林果业、农牧产品尽快得到充分的开发利用，促进了农业产业结构的优化调整。</w:t>
      </w:r>
    </w:p>
    <w:p>
      <w:pPr>
        <w:numPr>
          <w:ilvl w:val="0"/>
          <w:numId w:val="0"/>
        </w:numPr>
        <w:adjustRightInd w:val="0"/>
        <w:snapToGrid w:val="0"/>
        <w:spacing w:line="600" w:lineRule="exact"/>
        <w:ind w:firstLine="640" w:firstLineChars="20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rPr>
        <w:t>、项目实施的生态效益分析。项目实施过程中按照文明施工要求，加强了环境保护，确保了道路洁美，极大减少了对环境的污染破坏。</w:t>
      </w:r>
    </w:p>
    <w:p>
      <w:pPr>
        <w:adjustRightInd w:val="0"/>
        <w:snapToGrid w:val="0"/>
        <w:spacing w:line="600" w:lineRule="exact"/>
        <w:ind w:firstLine="720"/>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rPr>
        <w:t>、项目实施的可持续影响分析。本项目将在设计寿命周期内持续发挥基础设施作用，长效保障人民群众出行便利。</w:t>
      </w:r>
    </w:p>
    <w:p>
      <w:pPr>
        <w:adjustRightInd w:val="0"/>
        <w:snapToGrid w:val="0"/>
        <w:spacing w:line="600" w:lineRule="exact"/>
        <w:ind w:firstLine="720"/>
        <w:rPr>
          <w:rFonts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rPr>
        <w:t>、满意度指标完成情况分析。本项目的实施为群众的生产、生活、出行带来了极大的便利，提升了民众出行的幸福感、获得感。</w:t>
      </w:r>
    </w:p>
    <w:p>
      <w:pPr>
        <w:adjustRightInd w:val="0"/>
        <w:snapToGrid w:val="0"/>
        <w:spacing w:line="600" w:lineRule="exact"/>
        <w:ind w:firstLine="720"/>
        <w:outlineLvl w:val="9"/>
        <w:rPr>
          <w:rFonts w:ascii="黑体" w:hAnsi="宋体" w:eastAsia="黑体"/>
          <w:sz w:val="32"/>
          <w:szCs w:val="32"/>
          <w:highlight w:val="none"/>
        </w:rPr>
      </w:pPr>
      <w:bookmarkStart w:id="132" w:name="_Toc373"/>
      <w:r>
        <w:rPr>
          <w:rFonts w:hint="eastAsia" w:ascii="黑体" w:hAnsi="宋体" w:eastAsia="黑体"/>
          <w:sz w:val="32"/>
          <w:szCs w:val="32"/>
          <w:highlight w:val="none"/>
        </w:rPr>
        <w:t>五、评价结论及建议</w:t>
      </w:r>
      <w:bookmarkEnd w:id="132"/>
    </w:p>
    <w:p>
      <w:pPr>
        <w:adjustRightInd w:val="0"/>
        <w:snapToGrid w:val="0"/>
        <w:spacing w:line="600" w:lineRule="exact"/>
        <w:ind w:firstLine="640" w:firstLineChars="200"/>
        <w:rPr>
          <w:rFonts w:ascii="仿宋_GB2312" w:hAnsi="宋体" w:eastAsia="仿宋_GB2312"/>
          <w:sz w:val="32"/>
          <w:szCs w:val="32"/>
          <w:highlight w:val="none"/>
          <w:bdr w:val="single" w:color="auto" w:sz="4" w:space="0"/>
          <w:lang w:val="zh-CN"/>
        </w:rPr>
      </w:pPr>
      <w:r>
        <w:rPr>
          <w:rFonts w:hint="eastAsia" w:ascii="仿宋_GB2312" w:hAnsi="宋体" w:eastAsia="仿宋_GB2312"/>
          <w:sz w:val="32"/>
          <w:szCs w:val="32"/>
          <w:highlight w:val="none"/>
          <w:lang w:val="en-US" w:eastAsia="zh-CN"/>
        </w:rPr>
        <w:t>取消政府还贷二级公路收费用于交通建设项目</w:t>
      </w:r>
      <w:r>
        <w:rPr>
          <w:rFonts w:hint="eastAsia" w:ascii="仿宋_GB2312" w:hAnsi="宋体" w:eastAsia="仿宋_GB2312"/>
          <w:sz w:val="32"/>
          <w:szCs w:val="32"/>
          <w:highlight w:val="none"/>
          <w:lang w:val="zh-CN"/>
        </w:rPr>
        <w:t>在市委市政府的坚强领导下，在相关部门，各乡镇、街道的配合之下，较为圆满地完成了各项目标任务，同时本项目的实施也最大化实现了经济效益、社会效益、生态效益和可持续发展目标，满足了群众出行要求，保障了群众生命安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项目实施过程中尚有不足之处，主要是农村公路养护管理机制还有待进一步完善。</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rPr>
          <w:rFonts w:hint="eastAsia"/>
        </w:rPr>
      </w:pPr>
      <w:r>
        <w:rPr>
          <w:rFonts w:hint="eastAsia" w:ascii="仿宋_GB2312" w:hAnsi="宋体" w:eastAsia="仿宋_GB2312"/>
          <w:sz w:val="32"/>
          <w:szCs w:val="32"/>
          <w:lang w:val="zh-CN"/>
        </w:rPr>
        <w:t>针对存在的问题，我们将通过制度建设、创新机制、规范管理，进一步完善现有的管理办法、村级公路养护管理机制，形成建设管理一体化工作机制。同时，建议继续加大对农村道路建设养护经费的投入。</w:t>
      </w:r>
    </w:p>
    <w:p>
      <w:pPr>
        <w:rPr>
          <w:rFonts w:hint="eastAsia" w:ascii="仿宋_GB2312" w:hAnsi="宋体" w:eastAsia="仿宋_GB2312"/>
          <w:sz w:val="32"/>
          <w:szCs w:val="32"/>
          <w:lang w:val="zh-CN"/>
        </w:rPr>
      </w:pPr>
      <w:r>
        <w:rPr>
          <w:rFonts w:hint="eastAsia" w:ascii="仿宋_GB2312" w:hAnsi="宋体" w:eastAsia="仿宋_GB2312"/>
          <w:sz w:val="32"/>
          <w:szCs w:val="32"/>
          <w:lang w:val="zh-CN"/>
        </w:rPr>
        <w:br w:type="page"/>
      </w:r>
    </w:p>
    <w:p>
      <w:pPr>
        <w:pStyle w:val="24"/>
        <w:numPr>
          <w:ilvl w:val="0"/>
          <w:numId w:val="0"/>
        </w:numPr>
        <w:spacing w:line="600" w:lineRule="exact"/>
        <w:ind w:left="640" w:leftChars="0"/>
        <w:outlineLvl w:val="1"/>
        <w:rPr>
          <w:rFonts w:hint="eastAsia" w:ascii="黑体" w:hAnsi="黑体" w:eastAsia="黑体" w:cs="Times New Roman"/>
          <w:sz w:val="32"/>
          <w:szCs w:val="32"/>
          <w:lang w:val="en-US" w:eastAsia="zh-CN"/>
        </w:rPr>
      </w:pPr>
      <w:bookmarkStart w:id="133" w:name="_Toc384"/>
      <w:r>
        <w:rPr>
          <w:rFonts w:hint="eastAsia" w:ascii="黑体" w:hAnsi="黑体" w:eastAsia="黑体" w:cs="Times New Roman"/>
          <w:sz w:val="32"/>
          <w:szCs w:val="32"/>
          <w:lang w:val="zh-CN"/>
        </w:rPr>
        <w:t>附件</w:t>
      </w:r>
      <w:r>
        <w:rPr>
          <w:rFonts w:hint="eastAsia" w:ascii="黑体" w:hAnsi="黑体" w:eastAsia="黑体" w:cs="Times New Roman"/>
          <w:sz w:val="32"/>
          <w:szCs w:val="32"/>
          <w:lang w:val="en-US" w:eastAsia="zh-CN"/>
        </w:rPr>
        <w:t>3</w:t>
      </w:r>
      <w:bookmarkEnd w:id="133"/>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2021年100万元以上（含）特定目标类</w:t>
      </w:r>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单位</w:t>
      </w:r>
      <w:r>
        <w:rPr>
          <w:rFonts w:hint="default" w:ascii="Times New Roman" w:hAnsi="Times New Roman" w:eastAsia="仿宋_GB2312" w:cs="Times New Roman"/>
          <w:b/>
          <w:bCs/>
          <w:color w:val="auto"/>
          <w:sz w:val="32"/>
          <w:szCs w:val="32"/>
          <w:highlight w:val="none"/>
          <w:lang w:val="en-US" w:eastAsia="zh-CN"/>
        </w:rPr>
        <w:t>预算项目绩效目标自评表</w:t>
      </w:r>
    </w:p>
    <w:p>
      <w:pPr>
        <w:pStyle w:val="2"/>
        <w:rPr>
          <w:rFonts w:hint="eastAsia"/>
          <w:highlight w:val="none"/>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189"/>
        <w:gridCol w:w="1224"/>
        <w:gridCol w:w="2405"/>
        <w:gridCol w:w="240"/>
      </w:tblGrid>
      <w:tr>
        <w:tblPrEx>
          <w:tblCellMar>
            <w:top w:w="0" w:type="dxa"/>
            <w:left w:w="108" w:type="dxa"/>
            <w:bottom w:w="0" w:type="dxa"/>
            <w:right w:w="108" w:type="dxa"/>
          </w:tblCellMar>
        </w:tblPrEx>
        <w:trPr>
          <w:trHeight w:val="90" w:hRule="atLeast"/>
          <w:jc w:val="center"/>
        </w:trPr>
        <w:tc>
          <w:tcPr>
            <w:tcW w:w="9571"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sz w:val="32"/>
                <w:szCs w:val="32"/>
              </w:rPr>
            </w:pPr>
            <w:r>
              <w:rPr>
                <w:rFonts w:hint="eastAsia" w:ascii="宋体" w:hAnsi="宋体" w:cs="宋体"/>
                <w:b/>
                <w:sz w:val="32"/>
                <w:szCs w:val="32"/>
              </w:rPr>
              <w:t>新能源汽车充电电费补贴项目绩效目标自评</w:t>
            </w:r>
          </w:p>
        </w:tc>
        <w:tc>
          <w:tcPr>
            <w:tcW w:w="2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40"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302001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华蓥市交通运输局</w:t>
            </w:r>
          </w:p>
        </w:tc>
      </w:tr>
      <w:tr>
        <w:tblPrEx>
          <w:tblCellMar>
            <w:top w:w="0" w:type="dxa"/>
            <w:left w:w="108" w:type="dxa"/>
            <w:bottom w:w="0" w:type="dxa"/>
            <w:right w:w="108" w:type="dxa"/>
          </w:tblCellMar>
        </w:tblPrEx>
        <w:trPr>
          <w:gridAfter w:val="1"/>
          <w:wAfter w:w="240"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r>
      <w:tr>
        <w:tblPrEx>
          <w:tblCellMar>
            <w:top w:w="0" w:type="dxa"/>
            <w:left w:w="108" w:type="dxa"/>
            <w:bottom w:w="0" w:type="dxa"/>
            <w:right w:w="108" w:type="dxa"/>
          </w:tblCellMar>
        </w:tblPrEx>
        <w:trPr>
          <w:gridAfter w:val="1"/>
          <w:wAfter w:w="240" w:type="dxa"/>
          <w:trHeight w:val="37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140</w:t>
            </w:r>
          </w:p>
        </w:tc>
      </w:tr>
      <w:tr>
        <w:tblPrEx>
          <w:tblCellMar>
            <w:top w:w="0" w:type="dxa"/>
            <w:left w:w="108" w:type="dxa"/>
            <w:bottom w:w="0" w:type="dxa"/>
            <w:right w:w="108" w:type="dxa"/>
          </w:tblCellMar>
        </w:tblPrEx>
        <w:trPr>
          <w:gridAfter w:val="1"/>
          <w:wAfter w:w="240" w:type="dxa"/>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40"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40"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eastAsia" w:ascii="宋体" w:hAnsi="宋体" w:cs="宋体"/>
                <w:kern w:val="0"/>
                <w:sz w:val="24"/>
                <w:lang w:val="zh-CN" w:bidi="ar"/>
              </w:rPr>
            </w:pPr>
            <w:r>
              <w:rPr>
                <w:rFonts w:hint="eastAsia" w:ascii="宋体" w:hAnsi="宋体" w:cs="宋体"/>
                <w:kern w:val="0"/>
                <w:sz w:val="24"/>
                <w:lang w:val="en-US" w:eastAsia="zh-CN" w:bidi="ar"/>
              </w:rPr>
              <w:t>2021年计划新能源汽车用电专项资金140万元，预计为200辆新能源汽车提供用电支持，我市新能源汽车充电电费支付完成率争取达到 100%，在2021年12月完成2021年度新能源汽车充电电费支付。</w:t>
            </w:r>
          </w:p>
          <w:p>
            <w:pPr>
              <w:widowControl/>
              <w:spacing w:line="320" w:lineRule="exact"/>
              <w:jc w:val="left"/>
              <w:textAlignment w:val="top"/>
              <w:rPr>
                <w:rFonts w:ascii="宋体" w:hAnsi="宋体" w:cs="宋体"/>
                <w:sz w:val="24"/>
              </w:rPr>
            </w:pPr>
          </w:p>
        </w:tc>
        <w:tc>
          <w:tcPr>
            <w:tcW w:w="362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eastAsia" w:ascii="宋体" w:hAnsi="宋体" w:cs="宋体"/>
                <w:kern w:val="0"/>
                <w:sz w:val="24"/>
                <w:lang w:val="zh-CN" w:bidi="ar"/>
              </w:rPr>
            </w:pPr>
            <w:r>
              <w:rPr>
                <w:rFonts w:hint="eastAsia" w:ascii="宋体" w:hAnsi="宋体" w:cs="宋体"/>
                <w:kern w:val="0"/>
                <w:sz w:val="24"/>
                <w:lang w:val="en-US" w:eastAsia="zh-CN" w:bidi="ar"/>
              </w:rPr>
              <w:t>2021年计划新能源汽车用电专项资金140万元，实际为200辆新能源汽车提供用电支持，我市新能源汽车充电电费支付完成率达到 100%，在2021年12月完成了2021年度新能源汽车充电电费支付。</w:t>
            </w:r>
          </w:p>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40"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宋体" w:hAnsi="宋体" w:cs="宋体"/>
                <w:kern w:val="0"/>
                <w:sz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40" w:type="dxa"/>
          <w:trHeight w:val="77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kern w:val="0"/>
                <w:sz w:val="24"/>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kern w:val="0"/>
                <w:sz w:val="24"/>
                <w:lang w:val="en-US" w:eastAsia="zh-CN" w:bidi="ar"/>
              </w:rPr>
              <w:t>补助用电新能源汽车数量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200台</w:t>
            </w:r>
          </w:p>
        </w:tc>
      </w:tr>
      <w:tr>
        <w:tblPrEx>
          <w:tblCellMar>
            <w:top w:w="0" w:type="dxa"/>
            <w:left w:w="108" w:type="dxa"/>
            <w:bottom w:w="0" w:type="dxa"/>
            <w:right w:w="108" w:type="dxa"/>
          </w:tblCellMar>
        </w:tblPrEx>
        <w:trPr>
          <w:gridAfter w:val="1"/>
          <w:wAfter w:w="240"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用电保障</w:t>
            </w:r>
          </w:p>
          <w:p>
            <w:pPr>
              <w:pStyle w:val="8"/>
              <w:rPr>
                <w:rFonts w:hint="eastAsia"/>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保障全市新能源汽车的用电</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顺利保证了我市新能源车辆的正常运行</w:t>
            </w:r>
          </w:p>
        </w:tc>
      </w:tr>
      <w:tr>
        <w:tblPrEx>
          <w:tblCellMar>
            <w:top w:w="0" w:type="dxa"/>
            <w:left w:w="108" w:type="dxa"/>
            <w:bottom w:w="0" w:type="dxa"/>
            <w:right w:w="108" w:type="dxa"/>
          </w:tblCellMar>
        </w:tblPrEx>
        <w:trPr>
          <w:gridAfter w:val="1"/>
          <w:wAfter w:w="240"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2021年12月底</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2021年12月底</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补贴</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金额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140万元</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140万元</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节约社会公众出行成本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缓解新能源汽车用户的经济压力</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有效缓解了新能源汽车用户的经济压力</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保障我市新能源汽车的正常运行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保障我市新能源汽车的正常运行</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我市新能源公交车与新能源出租车保证了城市公共服务职能，方便了市民出行</w:t>
            </w:r>
          </w:p>
        </w:tc>
      </w:tr>
      <w:tr>
        <w:tblPrEx>
          <w:tblCellMar>
            <w:top w:w="0" w:type="dxa"/>
            <w:left w:w="108" w:type="dxa"/>
            <w:bottom w:w="0" w:type="dxa"/>
            <w:right w:w="108" w:type="dxa"/>
          </w:tblCellMar>
        </w:tblPrEx>
        <w:trPr>
          <w:gridAfter w:val="1"/>
          <w:wAfter w:w="240" w:type="dxa"/>
          <w:trHeight w:val="577"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降低环境污染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促进使用新能源汽车，保护环境</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目前我市新能源汽车200辆，年节能约2809吨标准煤</w:t>
            </w:r>
          </w:p>
        </w:tc>
      </w:tr>
      <w:tr>
        <w:tblPrEx>
          <w:tblCellMar>
            <w:top w:w="0" w:type="dxa"/>
            <w:left w:w="108" w:type="dxa"/>
            <w:bottom w:w="0" w:type="dxa"/>
            <w:right w:w="108" w:type="dxa"/>
          </w:tblCellMar>
        </w:tblPrEx>
        <w:trPr>
          <w:gridAfter w:val="1"/>
          <w:wAfter w:w="240"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lang w:val="en-US" w:eastAsia="zh-CN"/>
              </w:rPr>
            </w:pPr>
            <w:r>
              <w:rPr>
                <w:rFonts w:hint="eastAsia" w:ascii="宋体" w:hAnsi="宋体" w:cs="宋体"/>
                <w:kern w:val="0"/>
                <w:sz w:val="24"/>
                <w:lang w:val="en-US" w:eastAsia="zh-CN" w:bidi="ar"/>
              </w:rPr>
              <w:t>节能减排</w:t>
            </w:r>
          </w:p>
          <w:p>
            <w:pPr>
              <w:pStyle w:val="8"/>
              <w:rPr>
                <w:rFonts w:hint="eastAsia"/>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节约能源，降低废气排放</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成功节约了能源，降低了废气排放量</w:t>
            </w:r>
          </w:p>
        </w:tc>
      </w:tr>
      <w:tr>
        <w:tblPrEx>
          <w:tblCellMar>
            <w:top w:w="0" w:type="dxa"/>
            <w:left w:w="108" w:type="dxa"/>
            <w:bottom w:w="0" w:type="dxa"/>
            <w:right w:w="108" w:type="dxa"/>
          </w:tblCellMar>
        </w:tblPrEx>
        <w:trPr>
          <w:gridAfter w:val="1"/>
          <w:wAfter w:w="240"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我市新能源汽车充电用户对此满意度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default" w:ascii="宋体" w:hAnsi="宋体" w:cs="宋体"/>
                <w:kern w:val="0"/>
                <w:sz w:val="24"/>
                <w:lang w:val="en-US" w:eastAsia="zh-CN" w:bidi="ar"/>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97%</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default" w:ascii="宋体" w:hAnsi="宋体" w:cs="宋体"/>
                <w:kern w:val="0"/>
                <w:sz w:val="24"/>
                <w:lang w:val="en-US" w:eastAsia="zh-CN" w:bidi="ar"/>
              </w:rPr>
            </w:pPr>
          </w:p>
        </w:tc>
      </w:tr>
    </w:tbl>
    <w:p>
      <w:pPr>
        <w:spacing w:line="600" w:lineRule="exact"/>
        <w:jc w:val="center"/>
        <w:rPr>
          <w:rFonts w:hint="eastAsia" w:ascii="方正小标宋简体" w:hAnsi="宋体" w:eastAsia="方正小标宋简体"/>
          <w:color w:val="000000"/>
          <w:kern w:val="0"/>
          <w:sz w:val="44"/>
          <w:szCs w:val="44"/>
          <w:lang w:val="en-US" w:eastAsia="zh-CN"/>
        </w:rPr>
      </w:pPr>
    </w:p>
    <w:p>
      <w:pPr>
        <w:rPr>
          <w:rFonts w:hint="eastAsia" w:ascii="仿宋_GB2312" w:hAnsi="宋体" w:eastAsia="仿宋_GB2312"/>
          <w:sz w:val="32"/>
          <w:szCs w:val="32"/>
          <w:lang w:val="zh-CN"/>
        </w:rPr>
      </w:pPr>
    </w:p>
    <w:p>
      <w:pPr>
        <w:pStyle w:val="8"/>
        <w:rPr>
          <w:rFonts w:hint="eastAsia"/>
        </w:rPr>
        <w:sectPr>
          <w:headerReference r:id="rId6" w:type="default"/>
          <w:footerReference r:id="rId7" w:type="default"/>
          <w:pgSz w:w="11906" w:h="16838"/>
          <w:pgMar w:top="1440" w:right="1800" w:bottom="1440" w:left="1800" w:header="851" w:footer="992" w:gutter="0"/>
          <w:pgNumType w:fmt="decimal"/>
          <w:cols w:space="425" w:num="1"/>
          <w:titlePg/>
          <w:docGrid w:type="lines" w:linePitch="312" w:charSpace="0"/>
        </w:sect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pStyle w:val="8"/>
              <w:jc w:val="center"/>
              <w:rPr>
                <w:rFonts w:hint="eastAsia" w:eastAsia="宋体"/>
                <w:highlight w:val="none"/>
                <w:lang w:eastAsia="zh-CN"/>
              </w:rPr>
            </w:pPr>
            <w:r>
              <w:rPr>
                <w:rFonts w:hint="eastAsia" w:ascii="宋体" w:hAnsi="宋体" w:cs="宋体"/>
                <w:b/>
                <w:bCs/>
                <w:sz w:val="32"/>
                <w:szCs w:val="32"/>
                <w:highlight w:val="none"/>
                <w:lang w:eastAsia="zh-CN"/>
              </w:rPr>
              <w:t>“8.11”洪灾交通应急项目资金</w:t>
            </w:r>
            <w:r>
              <w:rPr>
                <w:rFonts w:hint="eastAsia"/>
                <w:b/>
                <w:bCs/>
                <w:sz w:val="32"/>
                <w:szCs w:val="32"/>
                <w:highlight w:val="none"/>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645"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662"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234.88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w:t>
            </w:r>
          </w:p>
        </w:tc>
      </w:tr>
      <w:tr>
        <w:tblPrEx>
          <w:tblCellMar>
            <w:top w:w="0" w:type="dxa"/>
            <w:left w:w="108" w:type="dxa"/>
            <w:bottom w:w="0" w:type="dxa"/>
            <w:right w:w="108" w:type="dxa"/>
          </w:tblCellMar>
        </w:tblPrEx>
        <w:trPr>
          <w:gridAfter w:val="1"/>
          <w:wAfter w:w="236" w:type="dxa"/>
          <w:trHeight w:val="69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234.88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234.88</w:t>
            </w:r>
          </w:p>
        </w:tc>
      </w:tr>
      <w:tr>
        <w:tblPrEx>
          <w:tblCellMar>
            <w:top w:w="0" w:type="dxa"/>
            <w:left w:w="108" w:type="dxa"/>
            <w:bottom w:w="0" w:type="dxa"/>
            <w:right w:w="108" w:type="dxa"/>
          </w:tblCellMar>
        </w:tblPrEx>
        <w:trPr>
          <w:gridAfter w:val="1"/>
          <w:wAfter w:w="236" w:type="dxa"/>
          <w:trHeight w:val="51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502"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对洪灾损毁公路进行修复</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已完成18852平方米公路修复</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18852平方米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18852平方米</w:t>
            </w:r>
          </w:p>
        </w:tc>
      </w:tr>
      <w:tr>
        <w:tblPrEx>
          <w:tblCellMar>
            <w:top w:w="0" w:type="dxa"/>
            <w:left w:w="108" w:type="dxa"/>
            <w:bottom w:w="0" w:type="dxa"/>
            <w:right w:w="108" w:type="dxa"/>
          </w:tblCellMar>
        </w:tblPrEx>
        <w:trPr>
          <w:gridAfter w:val="1"/>
          <w:wAfter w:w="236" w:type="dxa"/>
          <w:trHeight w:val="1038"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9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198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234.88万元</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234.88万元</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234.88万元</w:t>
            </w: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带动社会投资金额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rPr>
          <w:rFonts w:hint="eastAsia" w:ascii="方正小标宋简体" w:hAnsi="宋体" w:eastAsia="方正小标宋简体"/>
          <w:color w:val="000000"/>
          <w:kern w:val="0"/>
          <w:sz w:val="44"/>
          <w:szCs w:val="44"/>
          <w:highlight w:val="none"/>
        </w:rPr>
      </w:pPr>
    </w:p>
    <w:p>
      <w:pPr>
        <w:adjustRightInd w:val="0"/>
        <w:snapToGrid w:val="0"/>
        <w:spacing w:line="600" w:lineRule="exact"/>
        <w:ind w:firstLine="640" w:firstLineChars="200"/>
        <w:rPr>
          <w:rFonts w:ascii="仿宋_GB2312" w:hAnsi="宋体" w:eastAsia="仿宋_GB2312"/>
          <w:sz w:val="32"/>
          <w:szCs w:val="32"/>
          <w:highlight w:val="none"/>
          <w:lang w:val="zh-CN"/>
        </w:rPr>
      </w:pPr>
    </w:p>
    <w:p>
      <w:pPr>
        <w:pStyle w:val="8"/>
        <w:sectPr>
          <w:pgSz w:w="11906" w:h="16838"/>
          <w:pgMar w:top="1440" w:right="1800" w:bottom="1440" w:left="1800" w:header="851" w:footer="992" w:gutter="0"/>
          <w:pgNumType w:fmt="decimal"/>
          <w:cols w:space="425" w:num="1"/>
          <w:titlePg/>
          <w:docGrid w:type="lines" w:linePitch="312" w:charSpace="0"/>
        </w:sectPr>
      </w:pPr>
    </w:p>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highlight w:val="none"/>
              </w:rPr>
            </w:pPr>
            <w:bookmarkStart w:id="134" w:name="_Toc15396618"/>
            <w:r>
              <w:rPr>
                <w:rFonts w:hint="eastAsia" w:ascii="宋体" w:hAnsi="宋体" w:cs="宋体"/>
                <w:b/>
                <w:bCs/>
                <w:sz w:val="32"/>
                <w:szCs w:val="32"/>
                <w:highlight w:val="none"/>
                <w:lang w:eastAsia="zh-CN"/>
              </w:rPr>
              <w:t>20</w:t>
            </w:r>
            <w:r>
              <w:rPr>
                <w:rFonts w:hint="eastAsia" w:ascii="宋体" w:hAnsi="宋体" w:cs="宋体"/>
                <w:b/>
                <w:bCs/>
                <w:sz w:val="32"/>
                <w:szCs w:val="32"/>
                <w:highlight w:val="none"/>
                <w:lang w:val="en-US" w:eastAsia="zh-CN"/>
              </w:rPr>
              <w:t>20</w:t>
            </w:r>
            <w:r>
              <w:rPr>
                <w:rFonts w:hint="eastAsia" w:ascii="宋体" w:hAnsi="宋体" w:cs="宋体"/>
                <w:b/>
                <w:bCs/>
                <w:sz w:val="32"/>
                <w:szCs w:val="32"/>
                <w:highlight w:val="none"/>
                <w:lang w:eastAsia="zh-CN"/>
              </w:rPr>
              <w:t>年“四好农村路”以奖代补资金</w:t>
            </w:r>
            <w:r>
              <w:rPr>
                <w:rFonts w:hint="eastAsia"/>
                <w:b/>
                <w:bCs/>
                <w:sz w:val="32"/>
                <w:szCs w:val="32"/>
                <w:highlight w:val="none"/>
              </w:rPr>
              <w:t>绩效目标自评</w:t>
            </w:r>
          </w:p>
          <w:p>
            <w:pPr>
              <w:pStyle w:val="8"/>
              <w:jc w:val="center"/>
              <w:rPr>
                <w:rFonts w:hint="eastAsia" w:eastAsia="宋体"/>
                <w:highlight w:val="none"/>
                <w:lang w:eastAsia="zh-CN"/>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685"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83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r>
      <w:tr>
        <w:tblPrEx>
          <w:tblCellMar>
            <w:top w:w="0" w:type="dxa"/>
            <w:left w:w="108" w:type="dxa"/>
            <w:bottom w:w="0" w:type="dxa"/>
            <w:right w:w="108" w:type="dxa"/>
          </w:tblCellMar>
        </w:tblPrEx>
        <w:trPr>
          <w:gridAfter w:val="1"/>
          <w:wAfter w:w="236" w:type="dxa"/>
          <w:trHeight w:val="91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230</w:t>
            </w:r>
          </w:p>
        </w:tc>
      </w:tr>
      <w:tr>
        <w:tblPrEx>
          <w:tblCellMar>
            <w:top w:w="0" w:type="dxa"/>
            <w:left w:w="108" w:type="dxa"/>
            <w:bottom w:w="0" w:type="dxa"/>
            <w:right w:w="108" w:type="dxa"/>
          </w:tblCellMar>
        </w:tblPrEx>
        <w:trPr>
          <w:gridAfter w:val="1"/>
          <w:wAfter w:w="236" w:type="dxa"/>
          <w:trHeight w:val="75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对全市12个乡镇街道进行农村公路环境整治</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已完成全市12个乡镇街道进行农村公路环境整治</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230</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带动社会投资金额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200万元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outlineLvl w:val="9"/>
        <w:rPr>
          <w:rFonts w:ascii="黑体" w:hAnsi="黑体" w:eastAsia="黑体"/>
          <w:sz w:val="44"/>
          <w:szCs w:val="44"/>
        </w:rPr>
      </w:pPr>
    </w:p>
    <w:p>
      <w:pPr>
        <w:pStyle w:val="8"/>
      </w:pPr>
    </w:p>
    <w:p>
      <w:pPr>
        <w:sectPr>
          <w:pgSz w:w="11906" w:h="16838"/>
          <w:pgMar w:top="1440" w:right="1800" w:bottom="1440" w:left="1800" w:header="851" w:footer="992" w:gutter="0"/>
          <w:pgNumType w:fmt="decimal"/>
          <w:cols w:space="425" w:num="1"/>
          <w:titlePg/>
          <w:docGrid w:type="lines" w:linePitch="312" w:charSpace="0"/>
        </w:sectPr>
      </w:pPr>
    </w:p>
    <w:p>
      <w:pPr>
        <w:pStyle w:val="8"/>
      </w:pPr>
    </w:p>
    <w:tbl>
      <w:tblPr>
        <w:tblStyle w:val="13"/>
        <w:tblW w:w="9811" w:type="dxa"/>
        <w:jc w:val="center"/>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lang w:eastAsia="zh-CN"/>
              </w:rPr>
              <w:t>养护和应急保通中心养护管理站建设</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905"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华蓥市交通运输局</w:t>
            </w:r>
          </w:p>
        </w:tc>
      </w:tr>
      <w:tr>
        <w:tblPrEx>
          <w:tblCellMar>
            <w:top w:w="0" w:type="dxa"/>
            <w:left w:w="108" w:type="dxa"/>
            <w:bottom w:w="0" w:type="dxa"/>
            <w:right w:w="108" w:type="dxa"/>
          </w:tblCellMar>
        </w:tblPrEx>
        <w:trPr>
          <w:gridAfter w:val="1"/>
          <w:wAfter w:w="236" w:type="dxa"/>
          <w:trHeight w:val="636"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w:t>
            </w:r>
          </w:p>
        </w:tc>
      </w:tr>
      <w:tr>
        <w:tblPrEx>
          <w:tblCellMar>
            <w:top w:w="0" w:type="dxa"/>
            <w:left w:w="108" w:type="dxa"/>
            <w:bottom w:w="0" w:type="dxa"/>
            <w:right w:w="108" w:type="dxa"/>
          </w:tblCellMar>
        </w:tblPrEx>
        <w:trPr>
          <w:gridAfter w:val="1"/>
          <w:wAfter w:w="236" w:type="dxa"/>
          <w:trHeight w:val="436"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580"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建设养护和应急保通中心养护管理站1个</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建设养护和应急保通中心养护管理站1个</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合格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合格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按时完成工程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2021.12.31前完工。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2021.12.31前完工。</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实际成本500万元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效益</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带动社会投资金额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持续提高</w:t>
            </w:r>
            <w:r>
              <w:rPr>
                <w:rFonts w:hint="eastAsia" w:ascii="宋体" w:hAnsi="宋体" w:cs="宋体"/>
                <w:kern w:val="0"/>
                <w:sz w:val="24"/>
                <w:lang w:val="en-US" w:eastAsia="zh-CN" w:bidi="ar"/>
              </w:rPr>
              <w:t>养护能力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持续提高</w:t>
            </w:r>
            <w:r>
              <w:rPr>
                <w:rFonts w:hint="eastAsia" w:ascii="宋体" w:hAnsi="宋体" w:cs="宋体"/>
                <w:kern w:val="0"/>
                <w:sz w:val="24"/>
                <w:lang w:val="en-US" w:eastAsia="zh-CN" w:bidi="ar"/>
              </w:rPr>
              <w:t>养护能力</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确保公路养护和应急保通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保障公路养护和应急保通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完全保障对公路养护和应急保通</w:t>
            </w: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85%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社会群众满意度达到90%</w:t>
            </w:r>
          </w:p>
        </w:tc>
      </w:tr>
    </w:tbl>
    <w:p>
      <w:pPr>
        <w:spacing w:line="600" w:lineRule="exact"/>
        <w:jc w:val="center"/>
        <w:rPr>
          <w:rFonts w:hint="eastAsia" w:ascii="方正小标宋简体" w:hAnsi="宋体" w:eastAsia="方正小标宋简体"/>
          <w:color w:val="000000"/>
          <w:kern w:val="0"/>
          <w:sz w:val="44"/>
          <w:szCs w:val="44"/>
        </w:rPr>
      </w:pPr>
    </w:p>
    <w:p>
      <w:pPr>
        <w:rPr>
          <w:rFonts w:hint="eastAsia"/>
          <w:lang w:val="zh-CN"/>
        </w:rPr>
      </w:pPr>
    </w:p>
    <w:p>
      <w:pPr>
        <w:pStyle w:val="8"/>
      </w:pPr>
    </w:p>
    <w:p>
      <w:pPr>
        <w:sectPr>
          <w:pgSz w:w="11906" w:h="16838"/>
          <w:pgMar w:top="1440" w:right="1800" w:bottom="1440" w:left="1800" w:header="851" w:footer="992" w:gutter="0"/>
          <w:pgNumType w:fmt="decimal"/>
          <w:cols w:space="425" w:num="1"/>
          <w:titlePg/>
          <w:docGrid w:type="lines" w:linePitch="312" w:charSpace="0"/>
        </w:sectPr>
      </w:pPr>
    </w:p>
    <w:p>
      <w:pPr>
        <w:pStyle w:val="8"/>
      </w:pPr>
    </w:p>
    <w:tbl>
      <w:tblPr>
        <w:tblStyle w:val="13"/>
        <w:tblW w:w="9575" w:type="dxa"/>
        <w:jc w:val="center"/>
        <w:tblLayout w:type="fixed"/>
        <w:tblCellMar>
          <w:top w:w="0" w:type="dxa"/>
          <w:left w:w="108" w:type="dxa"/>
          <w:bottom w:w="0" w:type="dxa"/>
          <w:right w:w="108" w:type="dxa"/>
        </w:tblCellMar>
      </w:tblPr>
      <w:tblGrid>
        <w:gridCol w:w="1976"/>
        <w:gridCol w:w="1142"/>
        <w:gridCol w:w="1635"/>
        <w:gridCol w:w="1297"/>
        <w:gridCol w:w="1116"/>
        <w:gridCol w:w="2409"/>
      </w:tblGrid>
      <w:tr>
        <w:tblPrEx>
          <w:tblCellMar>
            <w:top w:w="0" w:type="dxa"/>
            <w:left w:w="108" w:type="dxa"/>
            <w:bottom w:w="0" w:type="dxa"/>
            <w:right w:w="108" w:type="dxa"/>
          </w:tblCellMar>
        </w:tblPrEx>
        <w:trPr>
          <w:trHeight w:val="561"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rPr>
            </w:pPr>
            <w:r>
              <w:rPr>
                <w:rFonts w:hint="eastAsia" w:ascii="宋体" w:hAnsi="宋体" w:cs="宋体"/>
                <w:b/>
                <w:bCs/>
                <w:sz w:val="32"/>
                <w:szCs w:val="32"/>
                <w:lang w:eastAsia="zh-CN"/>
              </w:rPr>
              <w:t>20</w:t>
            </w:r>
            <w:r>
              <w:rPr>
                <w:rFonts w:hint="eastAsia" w:ascii="宋体" w:hAnsi="宋体" w:cs="宋体"/>
                <w:b/>
                <w:bCs/>
                <w:sz w:val="32"/>
                <w:szCs w:val="32"/>
                <w:lang w:val="en-US" w:eastAsia="zh-CN"/>
              </w:rPr>
              <w:t>20</w:t>
            </w:r>
            <w:r>
              <w:rPr>
                <w:rFonts w:hint="eastAsia" w:ascii="宋体" w:hAnsi="宋体" w:cs="宋体"/>
                <w:b/>
                <w:bCs/>
                <w:sz w:val="32"/>
                <w:szCs w:val="32"/>
                <w:lang w:eastAsia="zh-CN"/>
              </w:rPr>
              <w:t>年“四好农村路”示范县专项补助</w:t>
            </w:r>
            <w:r>
              <w:rPr>
                <w:rFonts w:hint="eastAsia"/>
                <w:b/>
                <w:bCs/>
                <w:sz w:val="32"/>
                <w:szCs w:val="32"/>
              </w:rPr>
              <w:t>绩效目标自评</w:t>
            </w:r>
          </w:p>
          <w:p>
            <w:pPr>
              <w:pStyle w:val="8"/>
              <w:jc w:val="both"/>
              <w:rPr>
                <w:rFonts w:hint="eastAsia" w:eastAsia="宋体"/>
                <w:lang w:eastAsia="zh-CN"/>
              </w:rPr>
            </w:pPr>
          </w:p>
        </w:tc>
      </w:tr>
      <w:tr>
        <w:tblPrEx>
          <w:tblCellMar>
            <w:top w:w="0" w:type="dxa"/>
            <w:left w:w="108" w:type="dxa"/>
            <w:bottom w:w="0" w:type="dxa"/>
            <w:right w:w="108" w:type="dxa"/>
          </w:tblCellMar>
        </w:tblPrEx>
        <w:trPr>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trHeight w:val="64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314.85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r>
      <w:tr>
        <w:tblPrEx>
          <w:tblCellMar>
            <w:top w:w="0" w:type="dxa"/>
            <w:left w:w="108" w:type="dxa"/>
            <w:bottom w:w="0" w:type="dxa"/>
            <w:right w:w="108" w:type="dxa"/>
          </w:tblCellMar>
        </w:tblPrEx>
        <w:trPr>
          <w:trHeight w:val="7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314.85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314.85</w:t>
            </w:r>
          </w:p>
        </w:tc>
      </w:tr>
      <w:tr>
        <w:tblPrEx>
          <w:tblCellMar>
            <w:top w:w="0" w:type="dxa"/>
            <w:left w:w="108" w:type="dxa"/>
            <w:bottom w:w="0" w:type="dxa"/>
            <w:right w:w="108" w:type="dxa"/>
          </w:tblCellMar>
        </w:tblPrEx>
        <w:trPr>
          <w:trHeight w:val="54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对全市12个乡镇、街道修建农村公路进行补助</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已对57.14公里农村公路进行补助</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57.14公里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57.14公里</w:t>
            </w:r>
          </w:p>
        </w:tc>
      </w:tr>
      <w:tr>
        <w:tblPrEx>
          <w:tblCellMar>
            <w:top w:w="0" w:type="dxa"/>
            <w:left w:w="108" w:type="dxa"/>
            <w:bottom w:w="0" w:type="dxa"/>
            <w:right w:w="108" w:type="dxa"/>
          </w:tblCellMar>
        </w:tblPrEx>
        <w:trPr>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314.85</w:t>
            </w:r>
          </w:p>
        </w:tc>
      </w:tr>
      <w:tr>
        <w:tblPrEx>
          <w:tblCellMar>
            <w:top w:w="0" w:type="dxa"/>
            <w:left w:w="108" w:type="dxa"/>
            <w:bottom w:w="0" w:type="dxa"/>
            <w:right w:w="108" w:type="dxa"/>
          </w:tblCellMar>
        </w:tblPrEx>
        <w:trPr>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转型发展农业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rPr>
          <w:rFonts w:hint="eastAsia" w:ascii="方正小标宋简体" w:hAnsi="宋体" w:eastAsia="方正小标宋简体"/>
          <w:color w:val="000000"/>
          <w:kern w:val="0"/>
          <w:sz w:val="44"/>
          <w:szCs w:val="44"/>
        </w:rPr>
      </w:pPr>
    </w:p>
    <w:p>
      <w:pPr>
        <w:adjustRightInd w:val="0"/>
        <w:snapToGrid w:val="0"/>
        <w:spacing w:line="600" w:lineRule="exact"/>
        <w:ind w:firstLine="640" w:firstLineChars="200"/>
        <w:rPr>
          <w:rFonts w:hint="eastAsia" w:ascii="仿宋_GB2312" w:hAnsi="宋体" w:eastAsia="仿宋_GB2312"/>
          <w:sz w:val="32"/>
          <w:szCs w:val="32"/>
          <w:lang w:val="zh-CN"/>
        </w:rPr>
      </w:pPr>
    </w:p>
    <w:p>
      <w:pPr>
        <w:pStyle w:val="8"/>
        <w:rPr>
          <w:rFonts w:hint="eastAsia"/>
          <w:lang w:val="zh-CN"/>
        </w:rPr>
      </w:pPr>
    </w:p>
    <w:p>
      <w:pPr>
        <w:sectPr>
          <w:pgSz w:w="11906" w:h="16838"/>
          <w:pgMar w:top="1440" w:right="1800" w:bottom="1440" w:left="1800" w:header="851" w:footer="992" w:gutter="0"/>
          <w:pgNumType w:fmt="decimal"/>
          <w:cols w:space="425" w:num="1"/>
          <w:titlePg/>
          <w:docGrid w:type="lines" w:linePitch="312" w:charSpace="0"/>
        </w:sectPr>
      </w:pPr>
    </w:p>
    <w:p>
      <w:pPr>
        <w:pStyle w:val="8"/>
      </w:pPr>
    </w:p>
    <w:tbl>
      <w:tblPr>
        <w:tblStyle w:val="13"/>
        <w:tblW w:w="9575" w:type="dxa"/>
        <w:jc w:val="center"/>
        <w:tblLayout w:type="fixed"/>
        <w:tblCellMar>
          <w:top w:w="0" w:type="dxa"/>
          <w:left w:w="108" w:type="dxa"/>
          <w:bottom w:w="0" w:type="dxa"/>
          <w:right w:w="108" w:type="dxa"/>
        </w:tblCellMar>
      </w:tblPr>
      <w:tblGrid>
        <w:gridCol w:w="1976"/>
        <w:gridCol w:w="1142"/>
        <w:gridCol w:w="1635"/>
        <w:gridCol w:w="1297"/>
        <w:gridCol w:w="1116"/>
        <w:gridCol w:w="2409"/>
      </w:tblGrid>
      <w:tr>
        <w:tblPrEx>
          <w:tblCellMar>
            <w:top w:w="0" w:type="dxa"/>
            <w:left w:w="108" w:type="dxa"/>
            <w:bottom w:w="0" w:type="dxa"/>
            <w:right w:w="108" w:type="dxa"/>
          </w:tblCellMar>
        </w:tblPrEx>
        <w:trPr>
          <w:trHeight w:val="561"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rPr>
            </w:pPr>
            <w:r>
              <w:rPr>
                <w:rFonts w:hint="eastAsia" w:ascii="宋体" w:hAnsi="宋体" w:cs="宋体"/>
                <w:b/>
                <w:bCs/>
                <w:sz w:val="32"/>
                <w:szCs w:val="32"/>
                <w:lang w:eastAsia="zh-CN"/>
              </w:rPr>
              <w:t>农村客运成品油价格补助资金</w:t>
            </w:r>
            <w:r>
              <w:rPr>
                <w:rFonts w:hint="eastAsia"/>
                <w:b/>
                <w:bCs/>
                <w:sz w:val="32"/>
                <w:szCs w:val="32"/>
              </w:rPr>
              <w:t>绩效目标自评</w:t>
            </w:r>
          </w:p>
          <w:p>
            <w:pPr>
              <w:pStyle w:val="8"/>
              <w:jc w:val="both"/>
              <w:rPr>
                <w:rFonts w:hint="eastAsia" w:eastAsia="宋体"/>
                <w:lang w:eastAsia="zh-CN"/>
              </w:rPr>
            </w:pPr>
          </w:p>
        </w:tc>
      </w:tr>
      <w:tr>
        <w:tblPrEx>
          <w:tblCellMar>
            <w:top w:w="0" w:type="dxa"/>
            <w:left w:w="108" w:type="dxa"/>
            <w:bottom w:w="0" w:type="dxa"/>
            <w:right w:w="108" w:type="dxa"/>
          </w:tblCellMar>
        </w:tblPrEx>
        <w:trPr>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trHeight w:val="64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346.05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346.05</w:t>
            </w:r>
          </w:p>
        </w:tc>
      </w:tr>
      <w:tr>
        <w:tblPrEx>
          <w:tblCellMar>
            <w:top w:w="0" w:type="dxa"/>
            <w:left w:w="108" w:type="dxa"/>
            <w:bottom w:w="0" w:type="dxa"/>
            <w:right w:w="108" w:type="dxa"/>
          </w:tblCellMar>
        </w:tblPrEx>
        <w:trPr>
          <w:trHeight w:val="7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346.05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346.05</w:t>
            </w:r>
          </w:p>
        </w:tc>
      </w:tr>
      <w:tr>
        <w:tblPrEx>
          <w:tblCellMar>
            <w:top w:w="0" w:type="dxa"/>
            <w:left w:w="108" w:type="dxa"/>
            <w:bottom w:w="0" w:type="dxa"/>
            <w:right w:w="108" w:type="dxa"/>
          </w:tblCellMar>
        </w:tblPrEx>
        <w:trPr>
          <w:trHeight w:val="54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default" w:ascii="宋体" w:hAnsi="宋体" w:cs="宋体"/>
                <w:kern w:val="0"/>
                <w:sz w:val="24"/>
                <w:lang w:val="en-US" w:eastAsia="zh-CN" w:bidi="ar"/>
              </w:rPr>
              <w:t>用于弥补农村客运车辆日常经营的亏损；巩固农村客运建制村100%通客车成果；保障市内农村客运运输市场稳定发展，保障农民群众的日常出行需</w:t>
            </w:r>
          </w:p>
          <w:p>
            <w:pPr>
              <w:widowControl/>
              <w:spacing w:line="320" w:lineRule="exact"/>
              <w:jc w:val="both"/>
              <w:textAlignment w:val="bottom"/>
              <w:rPr>
                <w:rFonts w:hint="default" w:ascii="宋体" w:hAnsi="宋体" w:cs="宋体"/>
                <w:kern w:val="0"/>
                <w:sz w:val="24"/>
                <w:lang w:val="en-US" w:eastAsia="zh-CN" w:bidi="ar"/>
              </w:rPr>
            </w:pPr>
            <w:r>
              <w:rPr>
                <w:rFonts w:hint="default" w:ascii="宋体" w:hAnsi="宋体" w:cs="宋体"/>
                <w:kern w:val="0"/>
                <w:sz w:val="24"/>
                <w:lang w:val="en-US" w:eastAsia="zh-CN" w:bidi="ar"/>
              </w:rPr>
              <w:t>求</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用于弥补农村客运车辆日常经营的亏损；巩固农村客运建制村100%通客车成果；保障市内农村客运运输市场稳定发展，保障农民群众的日常出行需求</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补助农村客运企业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2家农客企业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2家农客企业</w:t>
            </w:r>
          </w:p>
          <w:p>
            <w:pPr>
              <w:pStyle w:val="8"/>
              <w:rPr>
                <w:rFonts w:hint="eastAsia"/>
                <w:lang w:val="en-US" w:eastAsia="zh-CN"/>
              </w:rPr>
            </w:pPr>
          </w:p>
        </w:tc>
      </w:tr>
      <w:tr>
        <w:tblPrEx>
          <w:tblCellMar>
            <w:top w:w="0" w:type="dxa"/>
            <w:left w:w="108" w:type="dxa"/>
            <w:bottom w:w="0" w:type="dxa"/>
            <w:right w:w="108" w:type="dxa"/>
          </w:tblCellMar>
        </w:tblPrEx>
        <w:trPr>
          <w:trHeight w:val="10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公示7日后补贴到位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发放完成时间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2021年年末前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2021年12月前</w:t>
            </w:r>
          </w:p>
        </w:tc>
      </w:tr>
      <w:tr>
        <w:tblPrEx>
          <w:tblCellMar>
            <w:top w:w="0" w:type="dxa"/>
            <w:left w:w="108" w:type="dxa"/>
            <w:bottom w:w="0" w:type="dxa"/>
            <w:right w:w="108" w:type="dxa"/>
          </w:tblCellMar>
        </w:tblPrEx>
        <w:trPr>
          <w:trHeight w:val="79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p>
            <w:pPr>
              <w:pStyle w:val="8"/>
              <w:rPr>
                <w:rFonts w:hint="eastAsia"/>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农村客运成品油补贴金额</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346.05万元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346.05万元</w:t>
            </w:r>
          </w:p>
        </w:tc>
      </w:tr>
      <w:tr>
        <w:tblPrEx>
          <w:tblCellMar>
            <w:top w:w="0" w:type="dxa"/>
            <w:left w:w="108" w:type="dxa"/>
            <w:bottom w:w="0" w:type="dxa"/>
            <w:right w:w="108" w:type="dxa"/>
          </w:tblCellMar>
        </w:tblPrEx>
        <w:trPr>
          <w:trHeight w:val="117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lang w:val="en-US" w:eastAsia="zh-CN"/>
              </w:rPr>
            </w:pPr>
            <w:r>
              <w:rPr>
                <w:rFonts w:hint="eastAsia" w:ascii="宋体" w:hAnsi="宋体" w:cs="宋体"/>
                <w:kern w:val="0"/>
                <w:sz w:val="24"/>
                <w:lang w:val="en-US" w:eastAsia="zh-CN" w:bidi="ar"/>
              </w:rPr>
              <w:t>经济效益指标</w:t>
            </w:r>
          </w:p>
          <w:p>
            <w:pPr>
              <w:pStyle w:val="8"/>
              <w:rPr>
                <w:rFonts w:hint="eastAsia"/>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弥补农村客运车辆日常经营的亏损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保障乡村群众日常出行需求得到满足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保障农村客运市场的发展和车辆保有数量，维持农村客运市场持续发展，有利于减少汽车尾气排放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98%</w:t>
            </w:r>
          </w:p>
        </w:tc>
      </w:tr>
      <w:tr>
        <w:tblPrEx>
          <w:tblCellMar>
            <w:top w:w="0" w:type="dxa"/>
            <w:left w:w="108" w:type="dxa"/>
            <w:bottom w:w="0" w:type="dxa"/>
            <w:right w:w="108" w:type="dxa"/>
          </w:tblCellMar>
        </w:tblPrEx>
        <w:trPr>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提高公共交通出行在总出行方式中的占比</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98%</w:t>
            </w:r>
          </w:p>
        </w:tc>
      </w:tr>
      <w:tr>
        <w:tblPrEx>
          <w:tblCellMar>
            <w:top w:w="0" w:type="dxa"/>
            <w:left w:w="108" w:type="dxa"/>
            <w:bottom w:w="0" w:type="dxa"/>
            <w:right w:w="108" w:type="dxa"/>
          </w:tblCellMar>
        </w:tblPrEx>
        <w:trPr>
          <w:trHeight w:val="1004"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力争群众对我局工作的满意度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98%</w:t>
            </w:r>
          </w:p>
        </w:tc>
      </w:tr>
    </w:tbl>
    <w:p>
      <w:pPr>
        <w:spacing w:line="600" w:lineRule="exact"/>
        <w:jc w:val="center"/>
        <w:outlineLvl w:val="9"/>
        <w:rPr>
          <w:rFonts w:ascii="黑体" w:hAnsi="黑体" w:eastAsia="黑体"/>
          <w:sz w:val="44"/>
          <w:szCs w:val="44"/>
        </w:rPr>
      </w:pPr>
    </w:p>
    <w:p>
      <w:pPr>
        <w:ind w:firstLine="640" w:firstLineChars="200"/>
        <w:rPr>
          <w:rFonts w:hint="eastAsia" w:ascii="仿宋_GB2312" w:hAnsi="宋体" w:eastAsia="仿宋_GB2312"/>
          <w:sz w:val="32"/>
          <w:szCs w:val="32"/>
          <w:lang w:val="zh-CN"/>
        </w:rPr>
        <w:sectPr>
          <w:pgSz w:w="11906" w:h="16838"/>
          <w:pgMar w:top="1440" w:right="1800" w:bottom="1440" w:left="1800" w:header="851" w:footer="992" w:gutter="0"/>
          <w:pgNumType w:fmt="decimal"/>
          <w:cols w:space="425" w:num="1"/>
          <w:titlePg/>
          <w:docGrid w:type="lines" w:linePitch="312" w:charSpace="0"/>
        </w:sectPr>
      </w:pPr>
    </w:p>
    <w:p>
      <w:pPr>
        <w:widowControl/>
        <w:spacing w:line="320" w:lineRule="exact"/>
        <w:jc w:val="center"/>
        <w:textAlignment w:val="bottom"/>
        <w:rPr>
          <w:rFonts w:hint="eastAsia" w:ascii="宋体" w:hAnsi="宋体" w:cs="宋体"/>
          <w:kern w:val="0"/>
          <w:sz w:val="24"/>
          <w:lang w:val="en-US" w:eastAsia="zh-CN" w:bidi="ar"/>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pStyle w:val="8"/>
              <w:jc w:val="center"/>
              <w:rPr>
                <w:rFonts w:hint="eastAsia" w:eastAsia="宋体"/>
                <w:highlight w:val="none"/>
                <w:lang w:eastAsia="zh-CN"/>
              </w:rPr>
            </w:pPr>
            <w:r>
              <w:rPr>
                <w:rFonts w:hint="eastAsia" w:ascii="宋体" w:hAnsi="宋体" w:cs="宋体"/>
                <w:b/>
                <w:bCs/>
                <w:sz w:val="32"/>
                <w:szCs w:val="32"/>
                <w:highlight w:val="none"/>
                <w:lang w:eastAsia="zh-CN"/>
              </w:rPr>
              <w:t>车辆购置税收入补助普通省道和农村公路项目</w:t>
            </w:r>
            <w:r>
              <w:rPr>
                <w:rFonts w:hint="eastAsia"/>
                <w:b/>
                <w:bCs/>
                <w:sz w:val="32"/>
                <w:szCs w:val="32"/>
                <w:highlight w:val="none"/>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3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502"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610.6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w:t>
            </w:r>
          </w:p>
        </w:tc>
      </w:tr>
      <w:tr>
        <w:tblPrEx>
          <w:tblCellMar>
            <w:top w:w="0" w:type="dxa"/>
            <w:left w:w="108" w:type="dxa"/>
            <w:bottom w:w="0" w:type="dxa"/>
            <w:right w:w="108" w:type="dxa"/>
          </w:tblCellMar>
        </w:tblPrEx>
        <w:trPr>
          <w:gridAfter w:val="1"/>
          <w:wAfter w:w="236" w:type="dxa"/>
          <w:trHeight w:val="7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610.6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610.6</w:t>
            </w:r>
          </w:p>
        </w:tc>
      </w:tr>
      <w:tr>
        <w:tblPrEx>
          <w:tblCellMar>
            <w:top w:w="0" w:type="dxa"/>
            <w:left w:w="108" w:type="dxa"/>
            <w:bottom w:w="0" w:type="dxa"/>
            <w:right w:w="108" w:type="dxa"/>
          </w:tblCellMar>
        </w:tblPrEx>
        <w:trPr>
          <w:gridAfter w:val="1"/>
          <w:wAfter w:w="236" w:type="dxa"/>
          <w:trHeight w:val="56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51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新建1处客运站</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已完成客运站建设</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610.6万元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outlineLvl w:val="9"/>
        <w:rPr>
          <w:rFonts w:hint="eastAsia" w:ascii="黑体" w:hAnsi="黑体" w:eastAsia="黑体"/>
          <w:sz w:val="44"/>
          <w:szCs w:val="44"/>
        </w:rPr>
      </w:pPr>
    </w:p>
    <w:p>
      <w:pPr>
        <w:pStyle w:val="8"/>
        <w:rPr>
          <w:rFonts w:hint="eastAsia"/>
        </w:rPr>
      </w:pPr>
    </w:p>
    <w:p>
      <w:pPr>
        <w:pStyle w:val="8"/>
        <w:rPr>
          <w:rFonts w:hint="eastAsia"/>
        </w:rPr>
        <w:sectPr>
          <w:pgSz w:w="11906" w:h="16838"/>
          <w:pgMar w:top="1440" w:right="1800" w:bottom="1440" w:left="1800" w:header="851" w:footer="992" w:gutter="0"/>
          <w:pgNumType w:fmt="decimal"/>
          <w:cols w:space="425" w:num="1"/>
          <w:titlePg/>
          <w:docGrid w:type="lines" w:linePitch="312" w:charSpace="0"/>
        </w:sectPr>
      </w:pPr>
    </w:p>
    <w:p>
      <w:pPr>
        <w:rPr>
          <w:rFonts w:hint="eastAsia"/>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pStyle w:val="8"/>
              <w:jc w:val="center"/>
              <w:rPr>
                <w:rFonts w:hint="eastAsia" w:eastAsia="宋体"/>
                <w:highlight w:val="none"/>
                <w:lang w:eastAsia="zh-CN"/>
              </w:rPr>
            </w:pPr>
            <w:r>
              <w:rPr>
                <w:rFonts w:hint="eastAsia" w:ascii="宋体" w:hAnsi="宋体" w:cs="宋体"/>
                <w:b/>
                <w:bCs/>
                <w:sz w:val="32"/>
                <w:szCs w:val="32"/>
                <w:highlight w:val="none"/>
                <w:lang w:eastAsia="zh-CN"/>
              </w:rPr>
              <w:t>成品油税费改革用于G350预防性养护和中修</w:t>
            </w:r>
            <w:r>
              <w:rPr>
                <w:rFonts w:hint="eastAsia"/>
                <w:b/>
                <w:bCs/>
                <w:sz w:val="32"/>
                <w:szCs w:val="32"/>
                <w:highlight w:val="none"/>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70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581.32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w:t>
            </w:r>
          </w:p>
        </w:tc>
      </w:tr>
      <w:tr>
        <w:tblPrEx>
          <w:tblCellMar>
            <w:top w:w="0" w:type="dxa"/>
            <w:left w:w="108" w:type="dxa"/>
            <w:bottom w:w="0" w:type="dxa"/>
            <w:right w:w="108" w:type="dxa"/>
          </w:tblCellMar>
        </w:tblPrEx>
        <w:trPr>
          <w:gridAfter w:val="1"/>
          <w:wAfter w:w="236" w:type="dxa"/>
          <w:trHeight w:val="740"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581.32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581.32</w:t>
            </w:r>
          </w:p>
        </w:tc>
      </w:tr>
      <w:tr>
        <w:tblPrEx>
          <w:tblCellMar>
            <w:top w:w="0" w:type="dxa"/>
            <w:left w:w="108" w:type="dxa"/>
            <w:bottom w:w="0" w:type="dxa"/>
            <w:right w:w="108" w:type="dxa"/>
          </w:tblCellMar>
        </w:tblPrEx>
        <w:trPr>
          <w:gridAfter w:val="1"/>
          <w:wAfter w:w="236" w:type="dxa"/>
          <w:trHeight w:val="62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实施G350大中修10公里</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实施G350大中修10公里</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10公里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10公里</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581.32万元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满意</w:t>
            </w:r>
            <w:r>
              <w:rPr>
                <w:rFonts w:hint="eastAsia" w:ascii="宋体" w:hAnsi="宋体" w:cs="宋体"/>
                <w:color w:val="auto"/>
                <w:kern w:val="0"/>
                <w:sz w:val="24"/>
                <w:lang w:val="en-US" w:eastAsia="zh-CN" w:bidi="ar"/>
              </w:rPr>
              <w:br w:type="textWrapping"/>
            </w:r>
            <w:r>
              <w:rPr>
                <w:rFonts w:hint="eastAsia" w:ascii="宋体" w:hAnsi="宋体" w:cs="宋体"/>
                <w:color w:val="auto"/>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满意度</w:t>
            </w:r>
          </w:p>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95%</w:t>
            </w:r>
          </w:p>
        </w:tc>
      </w:tr>
    </w:tbl>
    <w:p>
      <w:pPr>
        <w:widowControl/>
        <w:spacing w:line="320" w:lineRule="exact"/>
        <w:jc w:val="center"/>
        <w:textAlignment w:val="bottom"/>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pStyle w:val="8"/>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pStyle w:val="8"/>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pStyle w:val="8"/>
        <w:rPr>
          <w:rFonts w:hint="eastAsia" w:ascii="宋体" w:hAnsi="宋体" w:cs="宋体"/>
          <w:kern w:val="0"/>
          <w:sz w:val="24"/>
          <w:lang w:val="en-US" w:eastAsia="zh-CN" w:bidi="ar"/>
        </w:rPr>
      </w:pPr>
    </w:p>
    <w:p>
      <w:pPr>
        <w:rPr>
          <w:rFonts w:hint="eastAsia" w:ascii="宋体" w:hAnsi="宋体" w:cs="宋体"/>
          <w:kern w:val="0"/>
          <w:sz w:val="24"/>
          <w:lang w:val="en-US" w:eastAsia="zh-CN" w:bidi="ar"/>
        </w:rPr>
      </w:pPr>
    </w:p>
    <w:p>
      <w:pPr>
        <w:rPr>
          <w:rFonts w:hint="eastAsia"/>
          <w:lang w:val="en-US" w:eastAsia="zh-CN"/>
        </w:rPr>
      </w:pPr>
    </w:p>
    <w:p>
      <w:pPr>
        <w:rPr>
          <w:rFonts w:hint="eastAsia" w:ascii="宋体" w:hAnsi="宋体" w:cs="宋体"/>
          <w:kern w:val="0"/>
          <w:sz w:val="24"/>
          <w:lang w:val="en-US" w:eastAsia="zh-CN" w:bidi="ar"/>
        </w:rPr>
      </w:pPr>
    </w:p>
    <w:p>
      <w:pPr>
        <w:pStyle w:val="8"/>
        <w:rPr>
          <w:rFonts w:hint="eastAsia"/>
          <w:lang w:val="en-US" w:eastAsia="zh-CN"/>
        </w:rPr>
      </w:pPr>
    </w:p>
    <w:p>
      <w:pPr>
        <w:widowControl/>
        <w:spacing w:line="320" w:lineRule="exact"/>
        <w:jc w:val="center"/>
        <w:textAlignment w:val="bottom"/>
        <w:rPr>
          <w:rFonts w:hint="eastAsia" w:ascii="宋体" w:hAnsi="宋体" w:cs="宋体"/>
          <w:kern w:val="0"/>
          <w:sz w:val="24"/>
          <w:lang w:val="en-US" w:eastAsia="zh-CN" w:bidi="ar"/>
        </w:rPr>
      </w:pPr>
    </w:p>
    <w:p>
      <w:pPr>
        <w:pStyle w:val="8"/>
        <w:rPr>
          <w:rFonts w:hint="eastAsia"/>
        </w:rPr>
      </w:pPr>
    </w:p>
    <w:tbl>
      <w:tblPr>
        <w:tblStyle w:val="13"/>
        <w:tblpPr w:leftFromText="180" w:rightFromText="180" w:vertAnchor="page" w:horzAnchor="page" w:tblpX="1240" w:tblpY="1812"/>
        <w:tblOverlap w:val="never"/>
        <w:tblW w:w="9811" w:type="dxa"/>
        <w:tblInd w:w="0" w:type="dxa"/>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highlight w:val="none"/>
              </w:rPr>
            </w:pPr>
            <w:r>
              <w:rPr>
                <w:rFonts w:hint="eastAsia" w:ascii="宋体" w:hAnsi="宋体" w:cs="宋体"/>
                <w:b/>
                <w:bCs/>
                <w:sz w:val="32"/>
                <w:szCs w:val="32"/>
                <w:highlight w:val="none"/>
                <w:lang w:eastAsia="zh-CN"/>
              </w:rPr>
              <w:t>成品油税费改革用于农村公路养护</w:t>
            </w:r>
            <w:r>
              <w:rPr>
                <w:rFonts w:hint="eastAsia"/>
                <w:b/>
                <w:bCs/>
                <w:sz w:val="32"/>
                <w:szCs w:val="32"/>
                <w:highlight w:val="none"/>
              </w:rPr>
              <w:t>绩效目标自评</w:t>
            </w:r>
          </w:p>
          <w:p>
            <w:pPr>
              <w:pStyle w:val="8"/>
              <w:jc w:val="center"/>
              <w:rPr>
                <w:rFonts w:hint="eastAsia" w:eastAsia="宋体"/>
                <w:highlight w:val="none"/>
                <w:lang w:eastAsia="zh-CN"/>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15"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587"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r>
      <w:tr>
        <w:tblPrEx>
          <w:tblCellMar>
            <w:top w:w="0" w:type="dxa"/>
            <w:left w:w="108" w:type="dxa"/>
            <w:bottom w:w="0" w:type="dxa"/>
            <w:right w:w="108" w:type="dxa"/>
          </w:tblCellMar>
        </w:tblPrEx>
        <w:trPr>
          <w:gridAfter w:val="1"/>
          <w:wAfter w:w="236" w:type="dxa"/>
          <w:trHeight w:val="800"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120.1</w:t>
            </w:r>
          </w:p>
        </w:tc>
      </w:tr>
      <w:tr>
        <w:tblPrEx>
          <w:tblCellMar>
            <w:top w:w="0" w:type="dxa"/>
            <w:left w:w="108" w:type="dxa"/>
            <w:bottom w:w="0" w:type="dxa"/>
            <w:right w:w="108" w:type="dxa"/>
          </w:tblCellMar>
        </w:tblPrEx>
        <w:trPr>
          <w:gridAfter w:val="1"/>
          <w:wAfter w:w="236" w:type="dxa"/>
          <w:trHeight w:val="577"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对华蓥市1114.3公里农村公路进行养护</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已完成1114.3公里农村公路养护</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1114.3公里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1114.3公里</w:t>
            </w:r>
          </w:p>
        </w:tc>
      </w:tr>
      <w:tr>
        <w:tblPrEx>
          <w:tblCellMar>
            <w:top w:w="0" w:type="dxa"/>
            <w:left w:w="108" w:type="dxa"/>
            <w:bottom w:w="0" w:type="dxa"/>
            <w:right w:w="108" w:type="dxa"/>
          </w:tblCellMar>
        </w:tblPrEx>
        <w:trPr>
          <w:gridAfter w:val="1"/>
          <w:wAfter w:w="236" w:type="dxa"/>
          <w:trHeight w:val="1223"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120.1</w:t>
            </w:r>
          </w:p>
        </w:tc>
      </w:tr>
      <w:tr>
        <w:tblPrEx>
          <w:tblCellMar>
            <w:top w:w="0" w:type="dxa"/>
            <w:left w:w="108" w:type="dxa"/>
            <w:bottom w:w="0" w:type="dxa"/>
            <w:right w:w="108" w:type="dxa"/>
          </w:tblCellMar>
        </w:tblPrEx>
        <w:trPr>
          <w:gridAfter w:val="1"/>
          <w:wAfter w:w="236" w:type="dxa"/>
          <w:trHeight w:val="98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spacing w:line="600" w:lineRule="exact"/>
        <w:jc w:val="center"/>
        <w:rPr>
          <w:rFonts w:hint="eastAsia" w:ascii="方正小标宋简体" w:hAnsi="宋体" w:eastAsia="方正小标宋简体"/>
          <w:color w:val="000000"/>
          <w:kern w:val="0"/>
          <w:sz w:val="44"/>
          <w:szCs w:val="44"/>
          <w:highlight w:val="none"/>
        </w:rPr>
      </w:pPr>
    </w:p>
    <w:p>
      <w:pPr>
        <w:pStyle w:val="8"/>
        <w:rPr>
          <w:rFonts w:hint="eastAsia" w:ascii="仿宋_GB2312" w:hAnsi="宋体" w:eastAsia="仿宋_GB2312"/>
          <w:sz w:val="32"/>
          <w:szCs w:val="32"/>
          <w:highlight w:val="none"/>
          <w:lang w:val="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tbl>
      <w:tblPr>
        <w:tblStyle w:val="13"/>
        <w:tblW w:w="9811" w:type="dxa"/>
        <w:jc w:val="center"/>
        <w:tblLayout w:type="fixed"/>
        <w:tblCellMar>
          <w:top w:w="0" w:type="dxa"/>
          <w:left w:w="108" w:type="dxa"/>
          <w:bottom w:w="0" w:type="dxa"/>
          <w:right w:w="108" w:type="dxa"/>
        </w:tblCellMar>
      </w:tblPr>
      <w:tblGrid>
        <w:gridCol w:w="1976"/>
        <w:gridCol w:w="1142"/>
        <w:gridCol w:w="1635"/>
        <w:gridCol w:w="1297"/>
        <w:gridCol w:w="1116"/>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b/>
                <w:bCs/>
                <w:sz w:val="32"/>
                <w:szCs w:val="32"/>
                <w:highlight w:val="none"/>
              </w:rPr>
            </w:pPr>
            <w:r>
              <w:rPr>
                <w:rFonts w:hint="eastAsia" w:ascii="宋体" w:hAnsi="宋体" w:cs="宋体"/>
                <w:b/>
                <w:bCs/>
                <w:sz w:val="32"/>
                <w:szCs w:val="32"/>
                <w:highlight w:val="none"/>
                <w:lang w:eastAsia="zh-CN"/>
              </w:rPr>
              <w:t>取消政府还贷二级公路收费用于交通建设</w:t>
            </w:r>
            <w:r>
              <w:rPr>
                <w:rFonts w:hint="eastAsia"/>
                <w:b/>
                <w:bCs/>
                <w:sz w:val="32"/>
                <w:szCs w:val="32"/>
                <w:highlight w:val="none"/>
              </w:rPr>
              <w:t>项目绩效目标自评</w:t>
            </w:r>
          </w:p>
          <w:p>
            <w:pPr>
              <w:pStyle w:val="8"/>
              <w:jc w:val="center"/>
              <w:rPr>
                <w:rFonts w:hint="eastAsia" w:eastAsia="宋体"/>
                <w:highlight w:val="none"/>
                <w:lang w:eastAsia="zh-CN"/>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highlight w:val="none"/>
                <w:lang w:bidi="ar"/>
              </w:rPr>
            </w:pPr>
          </w:p>
        </w:tc>
      </w:tr>
      <w:tr>
        <w:tblPrEx>
          <w:tblCellMar>
            <w:top w:w="0" w:type="dxa"/>
            <w:left w:w="108" w:type="dxa"/>
            <w:bottom w:w="0" w:type="dxa"/>
            <w:right w:w="108" w:type="dxa"/>
          </w:tblCellMar>
        </w:tblPrEx>
        <w:trPr>
          <w:gridAfter w:val="1"/>
          <w:wAfter w:w="236" w:type="dxa"/>
          <w:trHeight w:val="7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302001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zh-CN" w:eastAsia="zh-CN" w:bidi="ar"/>
              </w:rPr>
              <w:t>华蓥市交通运输局</w:t>
            </w:r>
          </w:p>
        </w:tc>
      </w:tr>
      <w:tr>
        <w:tblPrEx>
          <w:tblCellMar>
            <w:top w:w="0" w:type="dxa"/>
            <w:left w:w="108" w:type="dxa"/>
            <w:bottom w:w="0" w:type="dxa"/>
            <w:right w:w="108" w:type="dxa"/>
          </w:tblCellMar>
        </w:tblPrEx>
        <w:trPr>
          <w:gridAfter w:val="1"/>
          <w:wAfter w:w="236" w:type="dxa"/>
          <w:trHeight w:val="837"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项目预算</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执行情况</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284.8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w:t>
            </w:r>
          </w:p>
        </w:tc>
      </w:tr>
      <w:tr>
        <w:tblPrEx>
          <w:tblCellMar>
            <w:top w:w="0" w:type="dxa"/>
            <w:left w:w="108" w:type="dxa"/>
            <w:bottom w:w="0" w:type="dxa"/>
            <w:right w:w="108" w:type="dxa"/>
          </w:tblCellMar>
        </w:tblPrEx>
        <w:trPr>
          <w:gridAfter w:val="1"/>
          <w:wAfter w:w="236" w:type="dxa"/>
          <w:trHeight w:val="917"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284.8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其中：</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284.8</w:t>
            </w:r>
          </w:p>
        </w:tc>
      </w:tr>
      <w:tr>
        <w:tblPrEx>
          <w:tblCellMar>
            <w:top w:w="0" w:type="dxa"/>
            <w:left w:w="108" w:type="dxa"/>
            <w:bottom w:w="0" w:type="dxa"/>
            <w:right w:w="108" w:type="dxa"/>
          </w:tblCellMar>
        </w:tblPrEx>
        <w:trPr>
          <w:gridAfter w:val="1"/>
          <w:wAfter w:w="236" w:type="dxa"/>
          <w:trHeight w:val="752"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r>
      <w:tr>
        <w:tblPrEx>
          <w:tblCellMar>
            <w:top w:w="0" w:type="dxa"/>
            <w:left w:w="108" w:type="dxa"/>
            <w:bottom w:w="0" w:type="dxa"/>
            <w:right w:w="108" w:type="dxa"/>
          </w:tblCellMar>
        </w:tblPrEx>
        <w:trPr>
          <w:gridAfter w:val="1"/>
          <w:wAfter w:w="236" w:type="dxa"/>
          <w:trHeight w:val="664"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年度总体目标</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完成情况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预期目标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扩宽天池至禄市道路</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已完成天池至禄市道路扩宽0.9公里</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一级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二级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三级</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完成</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0.9公里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0.9公里</w:t>
            </w:r>
          </w:p>
        </w:tc>
      </w:tr>
      <w:tr>
        <w:tblPrEx>
          <w:tblCellMar>
            <w:top w:w="0" w:type="dxa"/>
            <w:left w:w="108" w:type="dxa"/>
            <w:bottom w:w="0" w:type="dxa"/>
            <w:right w:w="108" w:type="dxa"/>
          </w:tblCellMar>
        </w:tblPrEx>
        <w:trPr>
          <w:gridAfter w:val="1"/>
          <w:wAfter w:w="236" w:type="dxa"/>
          <w:trHeight w:val="122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建设项目验收合格率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项目建设按期完成率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100%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284.8万元</w:t>
            </w:r>
          </w:p>
        </w:tc>
      </w:tr>
      <w:tr>
        <w:tblPrEx>
          <w:tblCellMar>
            <w:top w:w="0" w:type="dxa"/>
            <w:left w:w="108" w:type="dxa"/>
            <w:bottom w:w="0" w:type="dxa"/>
            <w:right w:w="108" w:type="dxa"/>
          </w:tblCellMar>
        </w:tblPrEx>
        <w:trPr>
          <w:gridAfter w:val="1"/>
          <w:wAfter w:w="236" w:type="dxa"/>
          <w:trHeight w:val="98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社会效益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生产生活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提升生产生活环境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提升生产生活环境</w:t>
            </w:r>
          </w:p>
        </w:tc>
      </w:tr>
      <w:tr>
        <w:tblPrEx>
          <w:tblCellMar>
            <w:top w:w="0" w:type="dxa"/>
            <w:left w:w="108" w:type="dxa"/>
            <w:bottom w:w="0" w:type="dxa"/>
            <w:right w:w="108" w:type="dxa"/>
          </w:tblCellMar>
        </w:tblPrEx>
        <w:trPr>
          <w:gridAfter w:val="1"/>
          <w:wAfter w:w="236" w:type="dxa"/>
          <w:trHeight w:val="953"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生态效益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生态环境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显著改善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937" w:hRule="atLeast"/>
          <w:jc w:val="center"/>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可持续影响 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促进资源转型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明显增强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全部达成预期指标</w:t>
            </w:r>
          </w:p>
        </w:tc>
      </w:tr>
      <w:tr>
        <w:tblPrEx>
          <w:tblCellMar>
            <w:top w:w="0" w:type="dxa"/>
            <w:left w:w="108" w:type="dxa"/>
            <w:bottom w:w="0" w:type="dxa"/>
            <w:right w:w="108" w:type="dxa"/>
          </w:tblCellMar>
        </w:tblPrEx>
        <w:trPr>
          <w:gridAfter w:val="1"/>
          <w:wAfter w:w="236" w:type="dxa"/>
          <w:trHeight w:val="1004"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cs="宋体"/>
                <w:kern w:val="0"/>
                <w:sz w:val="24"/>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w:t>
            </w:r>
            <w:r>
              <w:rPr>
                <w:rFonts w:hint="eastAsia" w:ascii="宋体" w:hAnsi="宋体" w:cs="宋体"/>
                <w:kern w:val="0"/>
                <w:sz w:val="24"/>
                <w:lang w:val="en-US" w:eastAsia="zh-CN" w:bidi="ar"/>
              </w:rPr>
              <w:br w:type="textWrapping"/>
            </w:r>
            <w:r>
              <w:rPr>
                <w:rFonts w:hint="eastAsia" w:ascii="宋体" w:hAnsi="宋体" w:cs="宋体"/>
                <w:kern w:val="0"/>
                <w:sz w:val="24"/>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满意度</w:t>
            </w:r>
          </w:p>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指标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宋体" w:hAnsi="宋体" w:cs="宋体"/>
                <w:kern w:val="0"/>
                <w:sz w:val="24"/>
                <w:lang w:val="en-US" w:eastAsia="zh-CN" w:bidi="ar"/>
              </w:rPr>
            </w:pPr>
            <w:r>
              <w:rPr>
                <w:rFonts w:hint="eastAsia" w:ascii="宋体" w:hAnsi="宋体" w:cs="宋体"/>
                <w:kern w:val="0"/>
                <w:sz w:val="24"/>
                <w:lang w:val="en-US" w:eastAsia="zh-CN" w:bidi="ar"/>
              </w:rPr>
              <w:t>当地居民和企业对专项实施的满意度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cs="宋体"/>
                <w:kern w:val="0"/>
                <w:sz w:val="24"/>
                <w:lang w:val="en-US" w:eastAsia="zh-CN" w:bidi="ar"/>
              </w:rPr>
            </w:pPr>
            <w:r>
              <w:rPr>
                <w:rFonts w:hint="eastAsia" w:ascii="宋体" w:hAnsi="宋体" w:cs="宋体"/>
                <w:kern w:val="0"/>
                <w:sz w:val="24"/>
                <w:lang w:val="en-US" w:eastAsia="zh-CN" w:bidi="ar"/>
              </w:rPr>
              <w:t>95%</w:t>
            </w:r>
          </w:p>
        </w:tc>
      </w:tr>
    </w:tbl>
    <w:p>
      <w:pPr>
        <w:adjustRightInd w:val="0"/>
        <w:snapToGrid w:val="0"/>
        <w:spacing w:line="600" w:lineRule="exact"/>
        <w:ind w:firstLine="640" w:firstLineChars="200"/>
        <w:rPr>
          <w:rFonts w:hint="eastAsia" w:ascii="仿宋_GB2312" w:hAnsi="宋体" w:eastAsia="仿宋_GB2312"/>
          <w:sz w:val="32"/>
          <w:szCs w:val="32"/>
          <w:lang w:val="zh-CN"/>
        </w:rPr>
        <w:sectPr>
          <w:pgSz w:w="11906" w:h="16838"/>
          <w:pgMar w:top="1440" w:right="1800" w:bottom="1440" w:left="1800" w:header="851" w:footer="992" w:gutter="0"/>
          <w:pgNumType w:fmt="decimal"/>
          <w:cols w:space="425" w:num="1"/>
          <w:titlePg/>
          <w:docGrid w:type="lines" w:linePitch="312" w:charSpace="0"/>
        </w:sectPr>
      </w:pPr>
    </w:p>
    <w:p>
      <w:pPr>
        <w:pStyle w:val="8"/>
        <w:rPr>
          <w:lang w:val="zh-CN"/>
        </w:rPr>
      </w:pPr>
    </w:p>
    <w:p>
      <w:pPr>
        <w:spacing w:line="600" w:lineRule="exact"/>
        <w:jc w:val="center"/>
        <w:outlineLvl w:val="0"/>
        <w:rPr>
          <w:rFonts w:ascii="仿宋" w:hAnsi="仿宋" w:eastAsia="仿宋"/>
        </w:rPr>
      </w:pPr>
      <w:bookmarkStart w:id="135" w:name="_Toc8346"/>
      <w:r>
        <w:rPr>
          <w:rFonts w:hint="eastAsia" w:ascii="黑体" w:hAnsi="黑体" w:eastAsia="黑体"/>
          <w:sz w:val="44"/>
          <w:szCs w:val="44"/>
        </w:rPr>
        <w:t>第</w:t>
      </w:r>
      <w:r>
        <w:rPr>
          <w:rStyle w:val="25"/>
          <w:rFonts w:hint="eastAsia" w:ascii="黑体" w:hAnsi="黑体" w:eastAsia="黑体"/>
          <w:b w:val="0"/>
        </w:rPr>
        <w:t>五部分 附表</w:t>
      </w:r>
      <w:bookmarkEnd w:id="68"/>
      <w:bookmarkEnd w:id="134"/>
      <w:bookmarkEnd w:id="135"/>
      <w:bookmarkStart w:id="136" w:name="_Toc15396619"/>
    </w:p>
    <w:p>
      <w:pPr>
        <w:pStyle w:val="4"/>
        <w:rPr>
          <w:rFonts w:ascii="仿宋" w:hAnsi="仿宋" w:eastAsia="仿宋"/>
        </w:rPr>
      </w:pPr>
      <w:bookmarkStart w:id="137" w:name="_Toc27754"/>
      <w:r>
        <w:rPr>
          <w:rFonts w:hint="eastAsia" w:ascii="仿宋" w:hAnsi="仿宋" w:eastAsia="仿宋"/>
          <w:b w:val="0"/>
        </w:rPr>
        <w:t>一、收</w:t>
      </w:r>
      <w:r>
        <w:rPr>
          <w:rStyle w:val="26"/>
          <w:rFonts w:hint="eastAsia" w:ascii="仿宋" w:hAnsi="仿宋" w:eastAsia="仿宋"/>
          <w:b w:val="0"/>
          <w:bCs w:val="0"/>
        </w:rPr>
        <w:t>入支出决算总表</w:t>
      </w:r>
      <w:bookmarkEnd w:id="136"/>
      <w:bookmarkEnd w:id="137"/>
    </w:p>
    <w:p>
      <w:pPr>
        <w:pStyle w:val="4"/>
        <w:rPr>
          <w:rFonts w:ascii="仿宋" w:hAnsi="仿宋" w:eastAsia="仿宋"/>
        </w:rPr>
      </w:pPr>
      <w:bookmarkStart w:id="138" w:name="_Toc32208"/>
      <w:bookmarkStart w:id="139" w:name="_Toc15396620"/>
      <w:r>
        <w:rPr>
          <w:rFonts w:hint="eastAsia" w:ascii="仿宋" w:hAnsi="仿宋" w:eastAsia="仿宋"/>
          <w:b w:val="0"/>
        </w:rPr>
        <w:t>二、收</w:t>
      </w:r>
      <w:r>
        <w:rPr>
          <w:rStyle w:val="26"/>
          <w:rFonts w:hint="eastAsia" w:ascii="仿宋" w:hAnsi="仿宋" w:eastAsia="仿宋"/>
          <w:b w:val="0"/>
          <w:bCs w:val="0"/>
        </w:rPr>
        <w:t>入决算表</w:t>
      </w:r>
      <w:bookmarkEnd w:id="138"/>
      <w:bookmarkEnd w:id="139"/>
    </w:p>
    <w:p>
      <w:pPr>
        <w:pStyle w:val="4"/>
        <w:rPr>
          <w:rFonts w:ascii="仿宋" w:hAnsi="仿宋" w:eastAsia="仿宋"/>
        </w:rPr>
      </w:pPr>
      <w:bookmarkStart w:id="140" w:name="_Toc23182"/>
      <w:bookmarkStart w:id="141"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140"/>
      <w:bookmarkEnd w:id="141"/>
    </w:p>
    <w:p>
      <w:pPr>
        <w:pStyle w:val="4"/>
        <w:rPr>
          <w:rFonts w:ascii="仿宋" w:hAnsi="仿宋" w:eastAsia="仿宋"/>
          <w:b w:val="0"/>
        </w:rPr>
      </w:pPr>
      <w:bookmarkStart w:id="142" w:name="_Toc819"/>
      <w:bookmarkStart w:id="14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142"/>
      <w:bookmarkEnd w:id="143"/>
    </w:p>
    <w:p>
      <w:pPr>
        <w:pStyle w:val="4"/>
        <w:rPr>
          <w:rStyle w:val="26"/>
          <w:rFonts w:ascii="仿宋" w:hAnsi="仿宋" w:eastAsia="仿宋"/>
          <w:b w:val="0"/>
          <w:bCs w:val="0"/>
        </w:rPr>
      </w:pPr>
      <w:bookmarkStart w:id="144" w:name="_Toc14235"/>
      <w:bookmarkStart w:id="145"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144"/>
      <w:bookmarkEnd w:id="145"/>
      <w:bookmarkStart w:id="146" w:name="_Toc15396624"/>
    </w:p>
    <w:p>
      <w:pPr>
        <w:pStyle w:val="4"/>
        <w:rPr>
          <w:rFonts w:ascii="仿宋" w:hAnsi="仿宋" w:eastAsia="仿宋"/>
        </w:rPr>
      </w:pPr>
      <w:bookmarkStart w:id="147" w:name="_Toc3728"/>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46"/>
      <w:bookmarkEnd w:id="147"/>
    </w:p>
    <w:p>
      <w:pPr>
        <w:pStyle w:val="4"/>
        <w:rPr>
          <w:rFonts w:ascii="仿宋" w:hAnsi="仿宋" w:eastAsia="仿宋"/>
        </w:rPr>
      </w:pPr>
      <w:bookmarkStart w:id="148" w:name="_Toc15396625"/>
      <w:bookmarkStart w:id="149" w:name="_Toc28566"/>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48"/>
      <w:bookmarkEnd w:id="149"/>
    </w:p>
    <w:p>
      <w:pPr>
        <w:pStyle w:val="4"/>
        <w:rPr>
          <w:rFonts w:ascii="仿宋" w:hAnsi="仿宋" w:eastAsia="仿宋"/>
        </w:rPr>
      </w:pPr>
      <w:bookmarkStart w:id="150" w:name="_Toc4993"/>
      <w:bookmarkStart w:id="15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50"/>
      <w:bookmarkEnd w:id="151"/>
    </w:p>
    <w:p>
      <w:pPr>
        <w:pStyle w:val="4"/>
        <w:rPr>
          <w:rFonts w:ascii="仿宋" w:hAnsi="仿宋" w:eastAsia="仿宋"/>
        </w:rPr>
      </w:pPr>
      <w:bookmarkStart w:id="152" w:name="_Toc10425"/>
      <w:bookmarkStart w:id="153"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52"/>
      <w:bookmarkEnd w:id="153"/>
    </w:p>
    <w:p>
      <w:pPr>
        <w:pStyle w:val="4"/>
        <w:rPr>
          <w:rFonts w:ascii="仿宋" w:hAnsi="仿宋" w:eastAsia="仿宋"/>
        </w:rPr>
      </w:pPr>
      <w:bookmarkStart w:id="154" w:name="_Toc9301"/>
      <w:bookmarkStart w:id="155"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54"/>
      <w:bookmarkEnd w:id="155"/>
    </w:p>
    <w:p>
      <w:pPr>
        <w:pStyle w:val="4"/>
        <w:rPr>
          <w:rFonts w:ascii="仿宋" w:hAnsi="仿宋" w:eastAsia="仿宋"/>
        </w:rPr>
      </w:pPr>
      <w:bookmarkStart w:id="156" w:name="_Toc1320"/>
      <w:bookmarkStart w:id="157"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56"/>
      <w:bookmarkEnd w:id="157"/>
    </w:p>
    <w:p>
      <w:pPr>
        <w:pStyle w:val="4"/>
        <w:rPr>
          <w:rFonts w:ascii="仿宋" w:hAnsi="仿宋" w:eastAsia="仿宋"/>
        </w:rPr>
      </w:pPr>
      <w:bookmarkStart w:id="158" w:name="_Toc5992"/>
      <w:bookmarkStart w:id="159"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58"/>
      <w:bookmarkEnd w:id="159"/>
    </w:p>
    <w:p>
      <w:pPr>
        <w:pStyle w:val="4"/>
        <w:rPr>
          <w:rStyle w:val="26"/>
          <w:rFonts w:ascii="仿宋" w:hAnsi="仿宋" w:eastAsia="仿宋"/>
          <w:b w:val="0"/>
          <w:bCs w:val="0"/>
        </w:rPr>
      </w:pPr>
      <w:bookmarkStart w:id="160" w:name="_Toc29553"/>
      <w:bookmarkStart w:id="161"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60"/>
      <w:bookmarkEnd w:id="161"/>
    </w:p>
    <w:p>
      <w:pPr>
        <w:pStyle w:val="4"/>
        <w:rPr>
          <w:rStyle w:val="26"/>
          <w:rFonts w:hint="eastAsia" w:ascii="仿宋" w:hAnsi="仿宋" w:eastAsia="仿宋"/>
          <w:b w:val="0"/>
          <w:bCs w:val="0"/>
        </w:rPr>
      </w:pPr>
      <w:bookmarkStart w:id="162" w:name="_Toc21545"/>
      <w:r>
        <w:rPr>
          <w:rStyle w:val="26"/>
          <w:rFonts w:hint="eastAsia" w:ascii="仿宋" w:hAnsi="仿宋" w:eastAsia="仿宋"/>
          <w:b w:val="0"/>
          <w:bCs w:val="0"/>
        </w:rPr>
        <w:t>十四、国有资本经营预算财政拨款支出决算表</w:t>
      </w:r>
      <w:bookmarkEnd w:id="162"/>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7C9E3"/>
    <w:multiLevelType w:val="singleLevel"/>
    <w:tmpl w:val="8F17C9E3"/>
    <w:lvl w:ilvl="0" w:tentative="0">
      <w:start w:val="2"/>
      <w:numFmt w:val="chineseCounting"/>
      <w:suff w:val="nothing"/>
      <w:lvlText w:val="（%1）"/>
      <w:lvlJc w:val="left"/>
      <w:rPr>
        <w:rFonts w:hint="eastAsia"/>
      </w:rPr>
    </w:lvl>
  </w:abstractNum>
  <w:abstractNum w:abstractNumId="1">
    <w:nsid w:val="C4FF344B"/>
    <w:multiLevelType w:val="singleLevel"/>
    <w:tmpl w:val="C4FF344B"/>
    <w:lvl w:ilvl="0" w:tentative="0">
      <w:start w:val="6"/>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1509B7E"/>
    <w:multiLevelType w:val="singleLevel"/>
    <w:tmpl w:val="F1509B7E"/>
    <w:lvl w:ilvl="0" w:tentative="0">
      <w:start w:val="2"/>
      <w:numFmt w:val="chineseCounting"/>
      <w:suff w:val="nothing"/>
      <w:lvlText w:val="（%1）"/>
      <w:lvlJc w:val="left"/>
      <w:rPr>
        <w:rFonts w:hint="eastAsia"/>
      </w:rPr>
    </w:lvl>
  </w:abstractNum>
  <w:abstractNum w:abstractNumId="4">
    <w:nsid w:val="05029C36"/>
    <w:multiLevelType w:val="singleLevel"/>
    <w:tmpl w:val="05029C36"/>
    <w:lvl w:ilvl="0" w:tentative="0">
      <w:start w:val="2"/>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58569A9"/>
    <w:multiLevelType w:val="singleLevel"/>
    <w:tmpl w:val="658569A9"/>
    <w:lvl w:ilvl="0" w:tentative="0">
      <w:start w:val="2"/>
      <w:numFmt w:val="chineseCounting"/>
      <w:suff w:val="nothing"/>
      <w:lvlText w:val="（%1）"/>
      <w:lvlJc w:val="left"/>
      <w:rPr>
        <w:rFonts w:hint="eastAsia"/>
      </w:rPr>
    </w:lvl>
  </w:abstractNum>
  <w:abstractNum w:abstractNumId="7">
    <w:nsid w:val="79DFC03E"/>
    <w:multiLevelType w:val="singleLevel"/>
    <w:tmpl w:val="79DFC03E"/>
    <w:lvl w:ilvl="0" w:tentative="0">
      <w:start w:val="1"/>
      <w:numFmt w:val="decimal"/>
      <w:suff w:val="nothing"/>
      <w:lvlText w:val="%1、"/>
      <w:lvlJc w:val="left"/>
    </w:lvl>
  </w:abstractNum>
  <w:num w:numId="1">
    <w:abstractNumId w:val="5"/>
  </w:num>
  <w:num w:numId="2">
    <w:abstractNumId w:val="1"/>
  </w:num>
  <w:num w:numId="3">
    <w:abstractNumId w:val="2"/>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zRiZTI5Nzc3ODc2YjFmMTAzNjM0NmEyYzNiN2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77D76"/>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8E4"/>
    <w:rsid w:val="003E6F55"/>
    <w:rsid w:val="00406254"/>
    <w:rsid w:val="004223DE"/>
    <w:rsid w:val="00434489"/>
    <w:rsid w:val="00437085"/>
    <w:rsid w:val="00443880"/>
    <w:rsid w:val="004464F4"/>
    <w:rsid w:val="00471401"/>
    <w:rsid w:val="00473F31"/>
    <w:rsid w:val="0048263A"/>
    <w:rsid w:val="00487E5D"/>
    <w:rsid w:val="004A54AA"/>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021"/>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0093"/>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3154"/>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610FE"/>
    <w:rsid w:val="01D3620A"/>
    <w:rsid w:val="020A4E85"/>
    <w:rsid w:val="030C0C97"/>
    <w:rsid w:val="03D95880"/>
    <w:rsid w:val="03E17BD4"/>
    <w:rsid w:val="0484238F"/>
    <w:rsid w:val="05235BBC"/>
    <w:rsid w:val="052E156C"/>
    <w:rsid w:val="060A5DE5"/>
    <w:rsid w:val="07723CEA"/>
    <w:rsid w:val="083C51B4"/>
    <w:rsid w:val="084D7834"/>
    <w:rsid w:val="087C3077"/>
    <w:rsid w:val="08A44E7A"/>
    <w:rsid w:val="08BF6E65"/>
    <w:rsid w:val="099C5022"/>
    <w:rsid w:val="09B60E19"/>
    <w:rsid w:val="0A2032A3"/>
    <w:rsid w:val="0A467914"/>
    <w:rsid w:val="0A4B221F"/>
    <w:rsid w:val="0A8D000E"/>
    <w:rsid w:val="0A9330CB"/>
    <w:rsid w:val="0B867DA8"/>
    <w:rsid w:val="0B8A37D8"/>
    <w:rsid w:val="0C292B39"/>
    <w:rsid w:val="0C2B366E"/>
    <w:rsid w:val="0C762CD4"/>
    <w:rsid w:val="0C7B4636"/>
    <w:rsid w:val="0CAD26EE"/>
    <w:rsid w:val="0D031A46"/>
    <w:rsid w:val="0D5858D6"/>
    <w:rsid w:val="0D833229"/>
    <w:rsid w:val="0E2F5DD7"/>
    <w:rsid w:val="0E4A61F3"/>
    <w:rsid w:val="0F690E99"/>
    <w:rsid w:val="0F7D69E1"/>
    <w:rsid w:val="10C055FF"/>
    <w:rsid w:val="10EA26CB"/>
    <w:rsid w:val="11755C50"/>
    <w:rsid w:val="118107EC"/>
    <w:rsid w:val="119E15BF"/>
    <w:rsid w:val="11DD6519"/>
    <w:rsid w:val="122169D4"/>
    <w:rsid w:val="12A35206"/>
    <w:rsid w:val="12AE743E"/>
    <w:rsid w:val="13083BAD"/>
    <w:rsid w:val="135D6C52"/>
    <w:rsid w:val="147D0AA0"/>
    <w:rsid w:val="14E62468"/>
    <w:rsid w:val="150944E4"/>
    <w:rsid w:val="1541073F"/>
    <w:rsid w:val="16461D43"/>
    <w:rsid w:val="169530F1"/>
    <w:rsid w:val="16B85BFA"/>
    <w:rsid w:val="16BB723D"/>
    <w:rsid w:val="17567F44"/>
    <w:rsid w:val="177F7B65"/>
    <w:rsid w:val="17837CFF"/>
    <w:rsid w:val="17D2701C"/>
    <w:rsid w:val="18015F3F"/>
    <w:rsid w:val="187504B8"/>
    <w:rsid w:val="197566C7"/>
    <w:rsid w:val="197F0B7D"/>
    <w:rsid w:val="19BB49B7"/>
    <w:rsid w:val="19F17A7A"/>
    <w:rsid w:val="1A833D7E"/>
    <w:rsid w:val="1B101939"/>
    <w:rsid w:val="1B2F1AC1"/>
    <w:rsid w:val="1BE8440E"/>
    <w:rsid w:val="1C3C5895"/>
    <w:rsid w:val="1C7D24EB"/>
    <w:rsid w:val="1D155CEE"/>
    <w:rsid w:val="1D256972"/>
    <w:rsid w:val="1D383160"/>
    <w:rsid w:val="1DF4020A"/>
    <w:rsid w:val="1E4F64BF"/>
    <w:rsid w:val="1E7F3728"/>
    <w:rsid w:val="1F1C33B0"/>
    <w:rsid w:val="1F5976B0"/>
    <w:rsid w:val="20F57F95"/>
    <w:rsid w:val="2104006C"/>
    <w:rsid w:val="211469FE"/>
    <w:rsid w:val="21202FB8"/>
    <w:rsid w:val="21D20BEB"/>
    <w:rsid w:val="227329D8"/>
    <w:rsid w:val="229409D9"/>
    <w:rsid w:val="22E64BE9"/>
    <w:rsid w:val="23882D92"/>
    <w:rsid w:val="240371BF"/>
    <w:rsid w:val="24257A29"/>
    <w:rsid w:val="24736843"/>
    <w:rsid w:val="251004E9"/>
    <w:rsid w:val="25681DE9"/>
    <w:rsid w:val="25AA0C56"/>
    <w:rsid w:val="25C741E6"/>
    <w:rsid w:val="25F21CC1"/>
    <w:rsid w:val="25FF23B0"/>
    <w:rsid w:val="26670571"/>
    <w:rsid w:val="27842671"/>
    <w:rsid w:val="27CB5F38"/>
    <w:rsid w:val="2840362D"/>
    <w:rsid w:val="288207C5"/>
    <w:rsid w:val="28E4239A"/>
    <w:rsid w:val="290D2D1E"/>
    <w:rsid w:val="291F7C61"/>
    <w:rsid w:val="29FD04D3"/>
    <w:rsid w:val="2A1177B5"/>
    <w:rsid w:val="2ABE7A3E"/>
    <w:rsid w:val="2B7959AD"/>
    <w:rsid w:val="2C1D5251"/>
    <w:rsid w:val="2C7A16E2"/>
    <w:rsid w:val="2C8F60E3"/>
    <w:rsid w:val="2CB73B76"/>
    <w:rsid w:val="2CFB6516"/>
    <w:rsid w:val="2D485C0B"/>
    <w:rsid w:val="2EF5348A"/>
    <w:rsid w:val="2EFA178C"/>
    <w:rsid w:val="30051281"/>
    <w:rsid w:val="30B46D73"/>
    <w:rsid w:val="30C858C7"/>
    <w:rsid w:val="311B7305"/>
    <w:rsid w:val="314B1A9D"/>
    <w:rsid w:val="3195137F"/>
    <w:rsid w:val="319F7F4E"/>
    <w:rsid w:val="31CE0DC5"/>
    <w:rsid w:val="3280081B"/>
    <w:rsid w:val="329D7CE6"/>
    <w:rsid w:val="32A1215A"/>
    <w:rsid w:val="32B060E3"/>
    <w:rsid w:val="33462826"/>
    <w:rsid w:val="33A66744"/>
    <w:rsid w:val="33B413C2"/>
    <w:rsid w:val="3471230A"/>
    <w:rsid w:val="354E441A"/>
    <w:rsid w:val="36002681"/>
    <w:rsid w:val="362870F9"/>
    <w:rsid w:val="36762D94"/>
    <w:rsid w:val="3713309D"/>
    <w:rsid w:val="38B67956"/>
    <w:rsid w:val="39A677E1"/>
    <w:rsid w:val="39AE70AB"/>
    <w:rsid w:val="3A161147"/>
    <w:rsid w:val="3B0450F8"/>
    <w:rsid w:val="3B1A74F9"/>
    <w:rsid w:val="3B34002A"/>
    <w:rsid w:val="3BBE026A"/>
    <w:rsid w:val="3BD20CF2"/>
    <w:rsid w:val="3BD50D38"/>
    <w:rsid w:val="3C0C0783"/>
    <w:rsid w:val="3D4D43A6"/>
    <w:rsid w:val="3EB858DD"/>
    <w:rsid w:val="3F2943A0"/>
    <w:rsid w:val="3F9F3A96"/>
    <w:rsid w:val="401E0AC2"/>
    <w:rsid w:val="404171BD"/>
    <w:rsid w:val="4083642D"/>
    <w:rsid w:val="40A84BB3"/>
    <w:rsid w:val="418946DD"/>
    <w:rsid w:val="426E2E4C"/>
    <w:rsid w:val="428930DD"/>
    <w:rsid w:val="42C54693"/>
    <w:rsid w:val="42DC4383"/>
    <w:rsid w:val="433C5B28"/>
    <w:rsid w:val="43C05640"/>
    <w:rsid w:val="44307953"/>
    <w:rsid w:val="444F1499"/>
    <w:rsid w:val="44CA0811"/>
    <w:rsid w:val="46C43CCD"/>
    <w:rsid w:val="4703111C"/>
    <w:rsid w:val="471F6432"/>
    <w:rsid w:val="47AB685B"/>
    <w:rsid w:val="47B50C04"/>
    <w:rsid w:val="481B3AA9"/>
    <w:rsid w:val="486404D4"/>
    <w:rsid w:val="493C27E9"/>
    <w:rsid w:val="496F39ED"/>
    <w:rsid w:val="49FF41D3"/>
    <w:rsid w:val="4A134CA4"/>
    <w:rsid w:val="4ACB5C21"/>
    <w:rsid w:val="4ACC7E15"/>
    <w:rsid w:val="4B3C2D42"/>
    <w:rsid w:val="4B7E3E72"/>
    <w:rsid w:val="4BE068DB"/>
    <w:rsid w:val="4BF6002B"/>
    <w:rsid w:val="4CA514C0"/>
    <w:rsid w:val="4CAE15B9"/>
    <w:rsid w:val="4CEF6E2D"/>
    <w:rsid w:val="4E3A2F19"/>
    <w:rsid w:val="4E845B90"/>
    <w:rsid w:val="4ECE2238"/>
    <w:rsid w:val="4F673F0D"/>
    <w:rsid w:val="4FFA7262"/>
    <w:rsid w:val="5012376C"/>
    <w:rsid w:val="50245B70"/>
    <w:rsid w:val="51BA122D"/>
    <w:rsid w:val="51D03F0C"/>
    <w:rsid w:val="51DB4B86"/>
    <w:rsid w:val="524838F9"/>
    <w:rsid w:val="52E164F6"/>
    <w:rsid w:val="53095632"/>
    <w:rsid w:val="53573574"/>
    <w:rsid w:val="53F43E05"/>
    <w:rsid w:val="544760DA"/>
    <w:rsid w:val="54637D94"/>
    <w:rsid w:val="55333C3E"/>
    <w:rsid w:val="55A347A0"/>
    <w:rsid w:val="566537AE"/>
    <w:rsid w:val="574F04E3"/>
    <w:rsid w:val="587C117B"/>
    <w:rsid w:val="5A4D28E3"/>
    <w:rsid w:val="5B463F5A"/>
    <w:rsid w:val="5B793091"/>
    <w:rsid w:val="5BB8593E"/>
    <w:rsid w:val="5C417197"/>
    <w:rsid w:val="5CBB0DC1"/>
    <w:rsid w:val="5CDC4D28"/>
    <w:rsid w:val="5CFD2067"/>
    <w:rsid w:val="5D8D2580"/>
    <w:rsid w:val="5D936B57"/>
    <w:rsid w:val="5EE507DF"/>
    <w:rsid w:val="5EEF6EE6"/>
    <w:rsid w:val="5F6F5525"/>
    <w:rsid w:val="5FA33436"/>
    <w:rsid w:val="608D51A6"/>
    <w:rsid w:val="60ED44F0"/>
    <w:rsid w:val="60F652D4"/>
    <w:rsid w:val="61D22166"/>
    <w:rsid w:val="62CA202C"/>
    <w:rsid w:val="62EC665B"/>
    <w:rsid w:val="62ED0169"/>
    <w:rsid w:val="630A5E95"/>
    <w:rsid w:val="64730CEB"/>
    <w:rsid w:val="647F4CF5"/>
    <w:rsid w:val="64CA39A1"/>
    <w:rsid w:val="65E1694A"/>
    <w:rsid w:val="663C6203"/>
    <w:rsid w:val="663D1DEF"/>
    <w:rsid w:val="6711261C"/>
    <w:rsid w:val="673B16D5"/>
    <w:rsid w:val="67495045"/>
    <w:rsid w:val="676B27AF"/>
    <w:rsid w:val="67C225B4"/>
    <w:rsid w:val="67F0388C"/>
    <w:rsid w:val="6845291D"/>
    <w:rsid w:val="68552C2A"/>
    <w:rsid w:val="68972291"/>
    <w:rsid w:val="696D4EC4"/>
    <w:rsid w:val="6A570560"/>
    <w:rsid w:val="6A8901CD"/>
    <w:rsid w:val="6AB206A2"/>
    <w:rsid w:val="6B6A4FE9"/>
    <w:rsid w:val="6B6D6759"/>
    <w:rsid w:val="6BC42979"/>
    <w:rsid w:val="6C185F51"/>
    <w:rsid w:val="6C4A05C8"/>
    <w:rsid w:val="6D162A3D"/>
    <w:rsid w:val="6D4C74DD"/>
    <w:rsid w:val="6D6C4DBC"/>
    <w:rsid w:val="6DAD2E66"/>
    <w:rsid w:val="6E6D7733"/>
    <w:rsid w:val="6E9E6243"/>
    <w:rsid w:val="6EEB50AF"/>
    <w:rsid w:val="6F0408F3"/>
    <w:rsid w:val="6F127A91"/>
    <w:rsid w:val="6F5D08F2"/>
    <w:rsid w:val="6FC2282B"/>
    <w:rsid w:val="70247DB9"/>
    <w:rsid w:val="703E10EF"/>
    <w:rsid w:val="70850FAA"/>
    <w:rsid w:val="70CA7262"/>
    <w:rsid w:val="713442A8"/>
    <w:rsid w:val="71495D5F"/>
    <w:rsid w:val="714F48DA"/>
    <w:rsid w:val="71565D7B"/>
    <w:rsid w:val="717C640D"/>
    <w:rsid w:val="71BF72AC"/>
    <w:rsid w:val="72196AB5"/>
    <w:rsid w:val="7243794D"/>
    <w:rsid w:val="72734D90"/>
    <w:rsid w:val="73AE275E"/>
    <w:rsid w:val="743E5465"/>
    <w:rsid w:val="74A03309"/>
    <w:rsid w:val="74D807B7"/>
    <w:rsid w:val="74F6074E"/>
    <w:rsid w:val="75320A94"/>
    <w:rsid w:val="760560C3"/>
    <w:rsid w:val="767547A0"/>
    <w:rsid w:val="76B8197E"/>
    <w:rsid w:val="77334767"/>
    <w:rsid w:val="77956BEC"/>
    <w:rsid w:val="77B60208"/>
    <w:rsid w:val="78C80434"/>
    <w:rsid w:val="793211B1"/>
    <w:rsid w:val="794D11D8"/>
    <w:rsid w:val="7970014A"/>
    <w:rsid w:val="79907CC0"/>
    <w:rsid w:val="7991009A"/>
    <w:rsid w:val="79E7B28D"/>
    <w:rsid w:val="7A1146C0"/>
    <w:rsid w:val="7A1A064C"/>
    <w:rsid w:val="7B4718B0"/>
    <w:rsid w:val="7B807641"/>
    <w:rsid w:val="7B9D6320"/>
    <w:rsid w:val="7C4D1C0A"/>
    <w:rsid w:val="7C8C6FF8"/>
    <w:rsid w:val="7CA7297C"/>
    <w:rsid w:val="7D750FF3"/>
    <w:rsid w:val="7DC46210"/>
    <w:rsid w:val="7F142765"/>
    <w:rsid w:val="7F9F20EE"/>
    <w:rsid w:val="7FE8124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next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semiHidden/>
    <w:qFormat/>
    <w:uiPriority w:val="0"/>
    <w:rPr>
      <w:rFonts w:ascii="Calibri" w:hAnsi="Calibri" w:eastAsia="宋体" w:cs="Times New Roman"/>
      <w:kern w:val="2"/>
      <w:sz w:val="21"/>
      <w:szCs w:val="24"/>
      <w:lang w:val="en-US" w:eastAsia="zh-CN" w:bidi="ar-SA"/>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WPSOffice手动目录 3"/>
    <w:qFormat/>
    <w:uiPriority w:val="0"/>
    <w:pPr>
      <w:ind w:leftChars="400"/>
    </w:pPr>
    <w:rPr>
      <w:rFonts w:ascii="Times New Roman" w:hAnsi="Times New Roman" w:eastAsia="宋体" w:cs="Times New Roman"/>
      <w:sz w:val="20"/>
      <w:szCs w:val="20"/>
    </w:rPr>
  </w:style>
  <w:style w:type="character" w:customStyle="1" w:styleId="35">
    <w:name w:val="标题 2 Char"/>
    <w:basedOn w:val="14"/>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146</Pages>
  <Words>53601</Words>
  <Characters>56905</Characters>
  <Lines>44</Lines>
  <Paragraphs>12</Paragraphs>
  <TotalTime>5</TotalTime>
  <ScaleCrop>false</ScaleCrop>
  <LinksUpToDate>false</LinksUpToDate>
  <CharactersWithSpaces>57198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星星</cp:lastModifiedBy>
  <cp:lastPrinted>2022-08-06T02:23:00Z</cp:lastPrinted>
  <dcterms:modified xsi:type="dcterms:W3CDTF">2023-07-27T08:40:18Z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002A4DB04E114D0CA5CA528EDC30FE92_13</vt:lpwstr>
  </property>
</Properties>
</file>