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DD72BD">
      <w:pPr>
        <w:jc w:val="left"/>
        <w:rPr>
          <w:rFonts w:ascii="Times New Roman" w:hAnsi="Times New Roman" w:eastAsia="方正仿宋_GBK" w:cs="方正仿宋_GBK"/>
          <w:b/>
          <w:bCs/>
          <w:sz w:val="32"/>
          <w:szCs w:val="32"/>
        </w:rPr>
      </w:pPr>
      <w:r>
        <w:rPr>
          <w:rFonts w:hint="eastAsia" w:ascii="方正黑体_GBK" w:hAnsi="方正黑体_GBK" w:eastAsia="方正黑体_GBK" w:cs="方正黑体_GBK"/>
          <w:szCs w:val="33"/>
        </w:rPr>
        <w:t>附件</w:t>
      </w:r>
      <w:bookmarkStart w:id="0" w:name="_GoBack"/>
      <w:bookmarkEnd w:id="0"/>
    </w:p>
    <w:p w14:paraId="79732CBB">
      <w:pPr>
        <w:jc w:val="center"/>
        <w:rPr>
          <w:rFonts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华蓥市公安局涉企行政检查事项清单</w:t>
      </w:r>
    </w:p>
    <w:tbl>
      <w:tblPr>
        <w:tblStyle w:val="4"/>
        <w:tblW w:w="14625" w:type="dxa"/>
        <w:tblInd w:w="-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0"/>
        <w:gridCol w:w="4515"/>
        <w:gridCol w:w="2235"/>
        <w:gridCol w:w="5115"/>
      </w:tblGrid>
      <w:tr w14:paraId="2FB37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60" w:type="dxa"/>
            <w:noWrap/>
          </w:tcPr>
          <w:p w14:paraId="1CDCC606">
            <w:pPr>
              <w:jc w:val="center"/>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检查事项名称</w:t>
            </w:r>
          </w:p>
        </w:tc>
        <w:tc>
          <w:tcPr>
            <w:tcW w:w="4515" w:type="dxa"/>
            <w:noWrap/>
          </w:tcPr>
          <w:p w14:paraId="60140E13">
            <w:pPr>
              <w:jc w:val="center"/>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检查依据</w:t>
            </w:r>
          </w:p>
        </w:tc>
        <w:tc>
          <w:tcPr>
            <w:tcW w:w="2235" w:type="dxa"/>
            <w:noWrap/>
          </w:tcPr>
          <w:p w14:paraId="562207AE">
            <w:pPr>
              <w:jc w:val="center"/>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检查对象</w:t>
            </w:r>
          </w:p>
        </w:tc>
        <w:tc>
          <w:tcPr>
            <w:tcW w:w="5115" w:type="dxa"/>
            <w:noWrap/>
          </w:tcPr>
          <w:p w14:paraId="61872BE7">
            <w:pPr>
              <w:jc w:val="center"/>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检查标准</w:t>
            </w:r>
          </w:p>
        </w:tc>
      </w:tr>
      <w:tr w14:paraId="4DBBB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0" w:type="dxa"/>
            <w:noWrap/>
            <w:vAlign w:val="center"/>
          </w:tcPr>
          <w:p w14:paraId="51076224">
            <w:pPr>
              <w:rPr>
                <w:rFonts w:ascii="Times New Roman" w:hAnsi="Times New Roman" w:eastAsia="方正小标宋_GBK" w:cs="方正小标宋_GBK"/>
                <w:sz w:val="21"/>
                <w:szCs w:val="21"/>
              </w:rPr>
            </w:pPr>
            <w:r>
              <w:rPr>
                <w:rFonts w:hint="eastAsia" w:ascii="Times New Roman" w:hAnsi="Times New Roman" w:eastAsia="方正仿宋_GBK" w:cs="方正仿宋_GBK"/>
                <w:sz w:val="21"/>
                <w:szCs w:val="21"/>
              </w:rPr>
              <w:t>对旅馆业经营场所进行治安监督检查</w:t>
            </w:r>
          </w:p>
        </w:tc>
        <w:tc>
          <w:tcPr>
            <w:tcW w:w="4515" w:type="dxa"/>
            <w:noWrap/>
            <w:vAlign w:val="center"/>
          </w:tcPr>
          <w:p w14:paraId="06D66ED9">
            <w:pP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根据1.《旅馆业治安管理办法》第十四条</w:t>
            </w:r>
          </w:p>
          <w:p w14:paraId="5CFBE9BD">
            <w:pPr>
              <w:rPr>
                <w:rFonts w:ascii="Times New Roman" w:hAnsi="Times New Roman" w:eastAsia="方正小标宋_GBK" w:cs="方正小标宋_GBK"/>
                <w:sz w:val="21"/>
                <w:szCs w:val="21"/>
              </w:rPr>
            </w:pPr>
            <w:r>
              <w:rPr>
                <w:rFonts w:hint="eastAsia" w:ascii="Times New Roman" w:hAnsi="Times New Roman" w:eastAsia="方正仿宋_GBK" w:cs="方正仿宋_GBK"/>
                <w:sz w:val="21"/>
                <w:szCs w:val="21"/>
              </w:rPr>
              <w:t>2.《四川省旅馆业治安管理办法》第二十五条</w:t>
            </w:r>
          </w:p>
        </w:tc>
        <w:tc>
          <w:tcPr>
            <w:tcW w:w="2235" w:type="dxa"/>
            <w:noWrap/>
            <w:vAlign w:val="center"/>
          </w:tcPr>
          <w:p w14:paraId="0C39B264">
            <w:pPr>
              <w:rPr>
                <w:rFonts w:ascii="Times New Roman" w:hAnsi="Times New Roman" w:eastAsia="方正仿宋_GBK" w:cs="方正小标宋_GBK"/>
                <w:sz w:val="21"/>
                <w:szCs w:val="21"/>
              </w:rPr>
            </w:pPr>
            <w:r>
              <w:rPr>
                <w:rFonts w:hint="eastAsia" w:ascii="Times New Roman" w:hAnsi="Times New Roman" w:eastAsia="方正仿宋_GBK" w:cs="方正仿宋_GBK"/>
                <w:sz w:val="21"/>
                <w:szCs w:val="21"/>
              </w:rPr>
              <w:t>宾旅馆企业或行业</w:t>
            </w:r>
          </w:p>
        </w:tc>
        <w:tc>
          <w:tcPr>
            <w:tcW w:w="5115" w:type="dxa"/>
            <w:noWrap/>
            <w:vAlign w:val="center"/>
          </w:tcPr>
          <w:p w14:paraId="526B3890">
            <w:pPr>
              <w:rPr>
                <w:rFonts w:ascii="Times New Roman" w:hAnsi="Times New Roman" w:eastAsia="方正小标宋_GBK" w:cs="方正小标宋_GBK"/>
                <w:sz w:val="21"/>
                <w:szCs w:val="21"/>
              </w:rPr>
            </w:pPr>
            <w:r>
              <w:rPr>
                <w:rFonts w:hint="eastAsia" w:ascii="Times New Roman" w:hAnsi="Times New Roman" w:eastAsia="方正仿宋_GBK" w:cs="方正仿宋_GBK"/>
                <w:sz w:val="21"/>
                <w:szCs w:val="21"/>
              </w:rPr>
              <w:t>按照《旅馆业治安管理办法》《四川省旅馆业治安管理办法》相关规定</w:t>
            </w:r>
          </w:p>
        </w:tc>
      </w:tr>
      <w:tr w14:paraId="2DB5D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0" w:type="dxa"/>
            <w:noWrap/>
            <w:vAlign w:val="center"/>
          </w:tcPr>
          <w:p w14:paraId="70001FA6">
            <w:pP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对娱乐场所进行监督检查</w:t>
            </w:r>
          </w:p>
        </w:tc>
        <w:tc>
          <w:tcPr>
            <w:tcW w:w="4515" w:type="dxa"/>
            <w:noWrap/>
            <w:vAlign w:val="center"/>
          </w:tcPr>
          <w:p w14:paraId="58176771">
            <w:pPr>
              <w:rPr>
                <w:rFonts w:ascii="Times New Roman" w:hAnsi="Times New Roman" w:eastAsia="方正仿宋_GBK" w:cs="方正仿宋_GBK"/>
                <w:sz w:val="21"/>
                <w:szCs w:val="21"/>
              </w:rPr>
            </w:pPr>
          </w:p>
          <w:p w14:paraId="69572AD1">
            <w:pPr>
              <w:rPr>
                <w:sz w:val="21"/>
                <w:szCs w:val="21"/>
              </w:rPr>
            </w:pPr>
            <w:r>
              <w:rPr>
                <w:rFonts w:hint="eastAsia" w:ascii="Times New Roman" w:hAnsi="Times New Roman" w:eastAsia="方正仿宋_GBK" w:cs="方正仿宋_GBK"/>
                <w:sz w:val="21"/>
                <w:szCs w:val="21"/>
              </w:rPr>
              <w:t>根据《娱乐场所治安管理办法》第三十三条</w:t>
            </w:r>
          </w:p>
        </w:tc>
        <w:tc>
          <w:tcPr>
            <w:tcW w:w="2235" w:type="dxa"/>
            <w:noWrap/>
            <w:vAlign w:val="center"/>
          </w:tcPr>
          <w:p w14:paraId="3C82D03F">
            <w:pP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娱乐场所企业或行业</w:t>
            </w:r>
          </w:p>
        </w:tc>
        <w:tc>
          <w:tcPr>
            <w:tcW w:w="5115" w:type="dxa"/>
            <w:noWrap/>
            <w:vAlign w:val="center"/>
          </w:tcPr>
          <w:p w14:paraId="68710EE8">
            <w:pP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按照《娱乐场所治安管理办法》相关规定</w:t>
            </w:r>
          </w:p>
        </w:tc>
      </w:tr>
      <w:tr w14:paraId="4102D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0" w:type="dxa"/>
            <w:noWrap/>
            <w:vAlign w:val="center"/>
          </w:tcPr>
          <w:p w14:paraId="25A04AAB">
            <w:pP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对保安从业单位、保安培训单位和保安员进行监督检查</w:t>
            </w:r>
          </w:p>
        </w:tc>
        <w:tc>
          <w:tcPr>
            <w:tcW w:w="4515" w:type="dxa"/>
            <w:noWrap/>
            <w:vAlign w:val="center"/>
          </w:tcPr>
          <w:p w14:paraId="564B1459">
            <w:pPr>
              <w:rPr>
                <w:rFonts w:ascii="Times New Roman" w:hAnsi="Times New Roman" w:eastAsia="方正仿宋_GBK" w:cs="方正仿宋_GBK"/>
                <w:sz w:val="21"/>
                <w:szCs w:val="21"/>
              </w:rPr>
            </w:pPr>
          </w:p>
          <w:p w14:paraId="75D5FA1D">
            <w:pPr>
              <w:tabs>
                <w:tab w:val="left" w:pos="849"/>
              </w:tabs>
              <w:rPr>
                <w:sz w:val="21"/>
                <w:szCs w:val="21"/>
              </w:rPr>
            </w:pPr>
            <w:r>
              <w:rPr>
                <w:rFonts w:hint="eastAsia" w:ascii="Times New Roman" w:hAnsi="Times New Roman" w:eastAsia="方正仿宋_GBK" w:cs="方正仿宋_GBK"/>
                <w:sz w:val="21"/>
                <w:szCs w:val="21"/>
              </w:rPr>
              <w:t>根据《保安服务管理条例》第三条、第三十六条</w:t>
            </w:r>
          </w:p>
        </w:tc>
        <w:tc>
          <w:tcPr>
            <w:tcW w:w="2235" w:type="dxa"/>
            <w:noWrap/>
            <w:vAlign w:val="center"/>
          </w:tcPr>
          <w:p w14:paraId="3A35C306">
            <w:pP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保安从业企业或保安培训企业</w:t>
            </w:r>
          </w:p>
        </w:tc>
        <w:tc>
          <w:tcPr>
            <w:tcW w:w="5115" w:type="dxa"/>
            <w:noWrap/>
            <w:vAlign w:val="center"/>
          </w:tcPr>
          <w:p w14:paraId="2F15E60B">
            <w:pP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按照《保安服务管理条例》相关规定</w:t>
            </w:r>
          </w:p>
        </w:tc>
      </w:tr>
      <w:tr w14:paraId="558B6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60" w:type="dxa"/>
            <w:noWrap/>
            <w:vAlign w:val="center"/>
          </w:tcPr>
          <w:p w14:paraId="2AAADFE7">
            <w:pP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对典当业进行治安管理和监督检查</w:t>
            </w:r>
          </w:p>
        </w:tc>
        <w:tc>
          <w:tcPr>
            <w:tcW w:w="4515" w:type="dxa"/>
            <w:noWrap/>
            <w:vAlign w:val="center"/>
          </w:tcPr>
          <w:p w14:paraId="40D59A2F">
            <w:pP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根据《典当管理办法》第四条</w:t>
            </w:r>
          </w:p>
        </w:tc>
        <w:tc>
          <w:tcPr>
            <w:tcW w:w="2235" w:type="dxa"/>
            <w:noWrap/>
            <w:vAlign w:val="center"/>
          </w:tcPr>
          <w:p w14:paraId="395B46F1">
            <w:pP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典当行业</w:t>
            </w:r>
          </w:p>
        </w:tc>
        <w:tc>
          <w:tcPr>
            <w:tcW w:w="5115" w:type="dxa"/>
            <w:noWrap/>
            <w:vAlign w:val="center"/>
          </w:tcPr>
          <w:p w14:paraId="6EC76E60">
            <w:pP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按照《典当管理办法》相关规定</w:t>
            </w:r>
          </w:p>
        </w:tc>
      </w:tr>
      <w:tr w14:paraId="42DA6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0" w:type="dxa"/>
            <w:noWrap/>
            <w:vAlign w:val="center"/>
          </w:tcPr>
          <w:p w14:paraId="71DAC59C">
            <w:pP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对金融机构安全防范设施的日常安全检查</w:t>
            </w:r>
          </w:p>
        </w:tc>
        <w:tc>
          <w:tcPr>
            <w:tcW w:w="4515" w:type="dxa"/>
            <w:noWrap/>
            <w:vAlign w:val="center"/>
          </w:tcPr>
          <w:p w14:paraId="0A185BEC">
            <w:pP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根据《金融机构营业场所和金库安全防范设施建设许可实施办法》第十五条</w:t>
            </w:r>
          </w:p>
        </w:tc>
        <w:tc>
          <w:tcPr>
            <w:tcW w:w="2235" w:type="dxa"/>
            <w:noWrap/>
            <w:vAlign w:val="center"/>
          </w:tcPr>
          <w:p w14:paraId="6BE46DA6">
            <w:pP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金融机构企业</w:t>
            </w:r>
          </w:p>
        </w:tc>
        <w:tc>
          <w:tcPr>
            <w:tcW w:w="5115" w:type="dxa"/>
            <w:noWrap/>
            <w:vAlign w:val="center"/>
          </w:tcPr>
          <w:p w14:paraId="38429330">
            <w:pP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按照《金融机构营业场所和金库安全防范设施建设许可实施办法》相关规定</w:t>
            </w:r>
          </w:p>
        </w:tc>
      </w:tr>
      <w:tr w14:paraId="7954F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2760" w:type="dxa"/>
            <w:noWrap/>
            <w:vAlign w:val="center"/>
          </w:tcPr>
          <w:p w14:paraId="00D9F249">
            <w:pP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对邮政企业、快递企业治安防范等工作进行检查</w:t>
            </w:r>
          </w:p>
        </w:tc>
        <w:tc>
          <w:tcPr>
            <w:tcW w:w="4515" w:type="dxa"/>
            <w:noWrap/>
            <w:vAlign w:val="center"/>
          </w:tcPr>
          <w:p w14:paraId="3F03C51E">
            <w:pP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根据《寄递渠道治安检查工作规定》第三条</w:t>
            </w:r>
          </w:p>
        </w:tc>
        <w:tc>
          <w:tcPr>
            <w:tcW w:w="2235" w:type="dxa"/>
            <w:noWrap/>
            <w:vAlign w:val="center"/>
          </w:tcPr>
          <w:p w14:paraId="2A877A26">
            <w:pP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寄递物流企业</w:t>
            </w:r>
          </w:p>
        </w:tc>
        <w:tc>
          <w:tcPr>
            <w:tcW w:w="5115" w:type="dxa"/>
            <w:noWrap/>
            <w:vAlign w:val="center"/>
          </w:tcPr>
          <w:p w14:paraId="37ADB402">
            <w:pP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按照《寄递渠道治安检查工作规定》相关规定</w:t>
            </w:r>
          </w:p>
        </w:tc>
      </w:tr>
      <w:tr w14:paraId="0474D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0" w:type="dxa"/>
            <w:noWrap/>
            <w:vAlign w:val="center"/>
          </w:tcPr>
          <w:p w14:paraId="7C76B483">
            <w:pP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对印刷业经营者各项管理制度的实施情况进行监督检查</w:t>
            </w:r>
          </w:p>
        </w:tc>
        <w:tc>
          <w:tcPr>
            <w:tcW w:w="4515" w:type="dxa"/>
            <w:noWrap/>
            <w:vAlign w:val="center"/>
          </w:tcPr>
          <w:p w14:paraId="136E91CE">
            <w:pP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根据1.《印刷业管理条例》第四条第二项</w:t>
            </w:r>
          </w:p>
          <w:p w14:paraId="0032C175">
            <w:pP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2.《印刷品承印管理规定》第五条</w:t>
            </w:r>
          </w:p>
        </w:tc>
        <w:tc>
          <w:tcPr>
            <w:tcW w:w="2235" w:type="dxa"/>
            <w:noWrap/>
            <w:vAlign w:val="center"/>
          </w:tcPr>
          <w:p w14:paraId="6CE6BC2E">
            <w:pP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印刷企业或者行业</w:t>
            </w:r>
          </w:p>
        </w:tc>
        <w:tc>
          <w:tcPr>
            <w:tcW w:w="5115" w:type="dxa"/>
            <w:noWrap/>
            <w:vAlign w:val="center"/>
          </w:tcPr>
          <w:p w14:paraId="60B0D750">
            <w:pP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按照《印刷业管理条例》《印刷品承印管理规定》相关规定</w:t>
            </w:r>
          </w:p>
        </w:tc>
      </w:tr>
      <w:tr w14:paraId="2BEAA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0" w:type="dxa"/>
            <w:noWrap/>
            <w:vAlign w:val="center"/>
          </w:tcPr>
          <w:p w14:paraId="0440574C">
            <w:pP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对印铸刻字业进行检查</w:t>
            </w:r>
          </w:p>
        </w:tc>
        <w:tc>
          <w:tcPr>
            <w:tcW w:w="4515" w:type="dxa"/>
            <w:noWrap/>
            <w:vAlign w:val="center"/>
          </w:tcPr>
          <w:p w14:paraId="6180D44C">
            <w:pP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根据1.《印铸刻字业暂行管理规则》第三条、第六条</w:t>
            </w:r>
          </w:p>
          <w:p w14:paraId="2DB2B4D3">
            <w:pP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2.《印刷品承印管理规定》第五条</w:t>
            </w:r>
          </w:p>
        </w:tc>
        <w:tc>
          <w:tcPr>
            <w:tcW w:w="2235" w:type="dxa"/>
            <w:noWrap/>
            <w:vAlign w:val="center"/>
          </w:tcPr>
          <w:p w14:paraId="59C6CA71">
            <w:pP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印章刻制业</w:t>
            </w:r>
          </w:p>
        </w:tc>
        <w:tc>
          <w:tcPr>
            <w:tcW w:w="5115" w:type="dxa"/>
            <w:noWrap/>
            <w:vAlign w:val="center"/>
          </w:tcPr>
          <w:p w14:paraId="3D6B160A">
            <w:pP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按照《印铸刻字业暂行管理规则》相关规定</w:t>
            </w:r>
          </w:p>
        </w:tc>
      </w:tr>
      <w:tr w14:paraId="398BA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0" w:type="dxa"/>
            <w:noWrap/>
            <w:vAlign w:val="center"/>
          </w:tcPr>
          <w:p w14:paraId="21E4CACA">
            <w:pP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对单位内部治安保卫工作进行监督检查</w:t>
            </w:r>
          </w:p>
        </w:tc>
        <w:tc>
          <w:tcPr>
            <w:tcW w:w="4515" w:type="dxa"/>
            <w:noWrap/>
            <w:vAlign w:val="center"/>
          </w:tcPr>
          <w:p w14:paraId="194BCDBC">
            <w:pP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根据1.《企业事业单位内部治安保卫条例》第三条</w:t>
            </w:r>
          </w:p>
          <w:p w14:paraId="21BE9D8E">
            <w:pP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2.《公安机关监督检查企业事业单位内部治安保卫工作规定》第四条、第五条</w:t>
            </w:r>
          </w:p>
        </w:tc>
        <w:tc>
          <w:tcPr>
            <w:tcW w:w="2235" w:type="dxa"/>
            <w:noWrap/>
            <w:vAlign w:val="center"/>
          </w:tcPr>
          <w:p w14:paraId="0D9275FE">
            <w:pP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企业事业单位</w:t>
            </w:r>
          </w:p>
        </w:tc>
        <w:tc>
          <w:tcPr>
            <w:tcW w:w="5115" w:type="dxa"/>
            <w:noWrap/>
            <w:vAlign w:val="center"/>
          </w:tcPr>
          <w:p w14:paraId="7C0E02A3">
            <w:pP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按照《企业事业单位内部治安保卫条例》《公安机关监督检查企业事业单位内部治安保卫工作规定》相关规定</w:t>
            </w:r>
          </w:p>
        </w:tc>
      </w:tr>
      <w:tr w14:paraId="1EC50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0" w:type="dxa"/>
            <w:noWrap/>
            <w:vAlign w:val="center"/>
          </w:tcPr>
          <w:p w14:paraId="7C0EAB09">
            <w:pP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对收购废旧金属的企业和个体工商户进行治安检查</w:t>
            </w:r>
          </w:p>
        </w:tc>
        <w:tc>
          <w:tcPr>
            <w:tcW w:w="4515" w:type="dxa"/>
            <w:noWrap/>
            <w:vAlign w:val="center"/>
          </w:tcPr>
          <w:p w14:paraId="1C42D54E">
            <w:pP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根据《废旧金属收购业治安管理办法》第十条</w:t>
            </w:r>
          </w:p>
        </w:tc>
        <w:tc>
          <w:tcPr>
            <w:tcW w:w="2235" w:type="dxa"/>
            <w:noWrap/>
            <w:vAlign w:val="center"/>
          </w:tcPr>
          <w:p w14:paraId="2D6BE37A">
            <w:pP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废旧金属的企业或行业</w:t>
            </w:r>
          </w:p>
        </w:tc>
        <w:tc>
          <w:tcPr>
            <w:tcW w:w="5115" w:type="dxa"/>
            <w:noWrap/>
            <w:vAlign w:val="center"/>
          </w:tcPr>
          <w:p w14:paraId="04BAF855">
            <w:pP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按照《营业性演出管理条例》相关规定</w:t>
            </w:r>
          </w:p>
        </w:tc>
      </w:tr>
      <w:tr w14:paraId="0B59D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0" w:type="dxa"/>
            <w:noWrap/>
            <w:vAlign w:val="center"/>
          </w:tcPr>
          <w:p w14:paraId="3958A144">
            <w:pP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对机动车修理企业和个体工商户、报废机动车回收企业的治安情况进行检查</w:t>
            </w:r>
          </w:p>
        </w:tc>
        <w:tc>
          <w:tcPr>
            <w:tcW w:w="4515" w:type="dxa"/>
            <w:noWrap/>
            <w:vAlign w:val="center"/>
          </w:tcPr>
          <w:p w14:paraId="0219EB22">
            <w:pP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根据《机动车修理业、报废机动车回收业治安管理办法》第三条</w:t>
            </w:r>
          </w:p>
        </w:tc>
        <w:tc>
          <w:tcPr>
            <w:tcW w:w="2235" w:type="dxa"/>
            <w:noWrap/>
            <w:vAlign w:val="center"/>
          </w:tcPr>
          <w:p w14:paraId="3AA3D149">
            <w:pP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机动车修理业、报废机动车回收业</w:t>
            </w:r>
          </w:p>
        </w:tc>
        <w:tc>
          <w:tcPr>
            <w:tcW w:w="5115" w:type="dxa"/>
            <w:noWrap/>
            <w:vAlign w:val="center"/>
          </w:tcPr>
          <w:p w14:paraId="6C8C5CE3">
            <w:pP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按照《机动车修理业、报废机动车回收业治安管理办法》相关规定</w:t>
            </w:r>
          </w:p>
        </w:tc>
      </w:tr>
      <w:tr w14:paraId="09768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0" w:type="dxa"/>
            <w:noWrap/>
            <w:vAlign w:val="center"/>
          </w:tcPr>
          <w:p w14:paraId="0E6427AC">
            <w:pP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rPr>
              <w:t>对民用爆炸物品从业单位的监督检查</w:t>
            </w:r>
          </w:p>
        </w:tc>
        <w:tc>
          <w:tcPr>
            <w:tcW w:w="4515" w:type="dxa"/>
            <w:noWrap/>
            <w:vAlign w:val="center"/>
          </w:tcPr>
          <w:p w14:paraId="238EAE4D">
            <w:pP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rPr>
              <w:t>《民用爆炸物品安全管理条例》第四条</w:t>
            </w:r>
          </w:p>
        </w:tc>
        <w:tc>
          <w:tcPr>
            <w:tcW w:w="2235" w:type="dxa"/>
            <w:noWrap/>
            <w:vAlign w:val="center"/>
          </w:tcPr>
          <w:p w14:paraId="44039101">
            <w:pP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rPr>
              <w:t>民爆行业</w:t>
            </w:r>
          </w:p>
        </w:tc>
        <w:tc>
          <w:tcPr>
            <w:tcW w:w="5115" w:type="dxa"/>
            <w:noWrap/>
            <w:vAlign w:val="center"/>
          </w:tcPr>
          <w:p w14:paraId="74F65BA8">
            <w:pP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rPr>
              <w:t>按照《民用爆炸物品安全管理条例》、《民用爆炸物品储存库治安防范要求》、《小型民用爆炸物品储存库安全规范》、《爆破安全规程》等相关规定</w:t>
            </w:r>
          </w:p>
        </w:tc>
      </w:tr>
      <w:tr w14:paraId="05413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0" w:type="dxa"/>
            <w:noWrap/>
            <w:vAlign w:val="center"/>
          </w:tcPr>
          <w:p w14:paraId="40DD6B1E">
            <w:pP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rPr>
              <w:t>对易制爆、剧毒危险化学品从业单位的监督检查</w:t>
            </w:r>
          </w:p>
        </w:tc>
        <w:tc>
          <w:tcPr>
            <w:tcW w:w="4515" w:type="dxa"/>
            <w:noWrap/>
            <w:vAlign w:val="center"/>
          </w:tcPr>
          <w:p w14:paraId="7B8736F4">
            <w:pP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rPr>
              <w:t>《危险化学品安全管理条例》第六条、第七条</w:t>
            </w:r>
          </w:p>
        </w:tc>
        <w:tc>
          <w:tcPr>
            <w:tcW w:w="2235" w:type="dxa"/>
            <w:noWrap/>
            <w:vAlign w:val="center"/>
          </w:tcPr>
          <w:p w14:paraId="14FC7DC9">
            <w:pP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rPr>
              <w:t>危险化学品</w:t>
            </w:r>
          </w:p>
        </w:tc>
        <w:tc>
          <w:tcPr>
            <w:tcW w:w="5115" w:type="dxa"/>
            <w:noWrap/>
            <w:vAlign w:val="center"/>
          </w:tcPr>
          <w:p w14:paraId="64D08A9B">
            <w:pP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rPr>
              <w:t>按照《危险化学品安全管理条例》、《易制爆危险化学品储存场所治安防范要求》、《易制爆危险化学品治安管理办法》、《剧毒危险化学品、放射源存放场所治安防范要求》等相关规定</w:t>
            </w:r>
          </w:p>
        </w:tc>
      </w:tr>
      <w:tr w14:paraId="5F724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0" w:type="dxa"/>
            <w:noWrap/>
            <w:vAlign w:val="top"/>
          </w:tcPr>
          <w:p w14:paraId="5C8F415B">
            <w:pP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rPr>
              <w:t>对烟花爆竹从业单位的监督检查</w:t>
            </w:r>
          </w:p>
        </w:tc>
        <w:tc>
          <w:tcPr>
            <w:tcW w:w="4515" w:type="dxa"/>
            <w:noWrap/>
            <w:vAlign w:val="top"/>
          </w:tcPr>
          <w:p w14:paraId="1E572F25">
            <w:pP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rPr>
              <w:t>《烟花爆竹安全管理条例》第四条、第五条</w:t>
            </w:r>
          </w:p>
        </w:tc>
        <w:tc>
          <w:tcPr>
            <w:tcW w:w="2235" w:type="dxa"/>
            <w:noWrap/>
            <w:vAlign w:val="top"/>
          </w:tcPr>
          <w:p w14:paraId="2C789A3C">
            <w:pP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rPr>
              <w:t>烟花爆竹从业单位</w:t>
            </w:r>
          </w:p>
        </w:tc>
        <w:tc>
          <w:tcPr>
            <w:tcW w:w="5115" w:type="dxa"/>
            <w:noWrap/>
            <w:vAlign w:val="top"/>
          </w:tcPr>
          <w:p w14:paraId="02B509B0">
            <w:pP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rPr>
              <w:t>《烟花爆竹安全管理条例》等相关规定</w:t>
            </w:r>
          </w:p>
        </w:tc>
      </w:tr>
      <w:tr w14:paraId="5FD82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0" w:type="dxa"/>
            <w:noWrap/>
            <w:vAlign w:val="center"/>
          </w:tcPr>
          <w:p w14:paraId="785037C6">
            <w:pP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rPr>
              <w:t>对持有枪支的单位和个人进行查验</w:t>
            </w:r>
          </w:p>
        </w:tc>
        <w:tc>
          <w:tcPr>
            <w:tcW w:w="4515" w:type="dxa"/>
            <w:noWrap/>
            <w:vAlign w:val="center"/>
          </w:tcPr>
          <w:p w14:paraId="69044A6C">
            <w:pP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rPr>
              <w:t>《中华人民共和国枪支管理法》第二十八条</w:t>
            </w:r>
          </w:p>
        </w:tc>
        <w:tc>
          <w:tcPr>
            <w:tcW w:w="2235" w:type="dxa"/>
            <w:noWrap/>
            <w:vAlign w:val="center"/>
          </w:tcPr>
          <w:p w14:paraId="20456983">
            <w:pP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rPr>
              <w:t>四川华蓥农村商业银行股份有限公司</w:t>
            </w:r>
          </w:p>
        </w:tc>
        <w:tc>
          <w:tcPr>
            <w:tcW w:w="5115" w:type="dxa"/>
            <w:noWrap/>
            <w:vAlign w:val="top"/>
          </w:tcPr>
          <w:p w14:paraId="107F9E6B">
            <w:pP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rPr>
              <w:t>《中华人民共和国枪支管理法》、《专职守护、押运人员枪支使用管理条例》等相关规定</w:t>
            </w:r>
          </w:p>
        </w:tc>
      </w:tr>
      <w:tr w14:paraId="08A08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0" w:type="dxa"/>
            <w:noWrap/>
            <w:vAlign w:val="center"/>
          </w:tcPr>
          <w:p w14:paraId="6A3E143E">
            <w:pP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rPr>
              <w:t>对制造弹药企业的日常监督检查</w:t>
            </w:r>
          </w:p>
        </w:tc>
        <w:tc>
          <w:tcPr>
            <w:tcW w:w="4515" w:type="dxa"/>
            <w:noWrap/>
            <w:vAlign w:val="center"/>
          </w:tcPr>
          <w:p w14:paraId="0ADBB68E">
            <w:pP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rPr>
              <w:t>《中华人民共和国枪支管理法》第四条、《民用爆炸物品安全管理条例》第四条</w:t>
            </w:r>
          </w:p>
        </w:tc>
        <w:tc>
          <w:tcPr>
            <w:tcW w:w="2235" w:type="dxa"/>
            <w:noWrap/>
            <w:vAlign w:val="center"/>
          </w:tcPr>
          <w:p w14:paraId="53BB8BEA">
            <w:pP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rPr>
              <w:t>四川燎原机械有限公司（华蓥分场所）</w:t>
            </w:r>
          </w:p>
        </w:tc>
        <w:tc>
          <w:tcPr>
            <w:tcW w:w="5115" w:type="dxa"/>
            <w:noWrap/>
            <w:vAlign w:val="center"/>
          </w:tcPr>
          <w:p w14:paraId="6959DDCE">
            <w:pP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rPr>
              <w:t>《中华人民共和国枪支管理法》、《民用爆炸物品安全管理条例》等相关规定</w:t>
            </w:r>
          </w:p>
        </w:tc>
      </w:tr>
      <w:tr w14:paraId="3799A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0" w:type="dxa"/>
            <w:noWrap/>
            <w:vAlign w:val="center"/>
          </w:tcPr>
          <w:p w14:paraId="414F0FCF">
            <w:pP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rPr>
              <w:t>对互联网上网服务营业场所经营单位的信息网络安全、</w:t>
            </w:r>
            <w:r>
              <w:rPr>
                <w:rFonts w:hint="eastAsia" w:ascii="Times New Roman" w:hAnsi="Times New Roman" w:eastAsia="方正仿宋_GBK" w:cs="方正仿宋_GBK"/>
                <w:sz w:val="21"/>
                <w:szCs w:val="21"/>
                <w:lang w:val="en-US" w:eastAsia="zh-CN"/>
              </w:rPr>
              <w:t>实名上网等情况</w:t>
            </w:r>
            <w:r>
              <w:rPr>
                <w:rFonts w:hint="eastAsia" w:ascii="Times New Roman" w:hAnsi="Times New Roman" w:eastAsia="方正仿宋_GBK" w:cs="方正仿宋_GBK"/>
                <w:sz w:val="21"/>
                <w:szCs w:val="21"/>
              </w:rPr>
              <w:t>进行监督管理；对辖区内互联网服务提供者和联网使用单位安全保护技术措施的落实情况进行指导、监督和检查</w:t>
            </w:r>
          </w:p>
          <w:p w14:paraId="64186D55">
            <w:pP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 xml:space="preserve">          </w:t>
            </w:r>
          </w:p>
        </w:tc>
        <w:tc>
          <w:tcPr>
            <w:tcW w:w="4515" w:type="dxa"/>
            <w:noWrap/>
            <w:vAlign w:val="top"/>
          </w:tcPr>
          <w:p w14:paraId="48607707">
            <w:pPr>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1.《互联网安全保护技术措施规定》第十六条</w:t>
            </w:r>
          </w:p>
          <w:p w14:paraId="747D94D8">
            <w:pP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rPr>
              <w:t>2.《互联网上网服务营业场所管理条例》第四条</w:t>
            </w:r>
            <w:r>
              <w:rPr>
                <w:rFonts w:hint="eastAsia" w:ascii="Times New Roman" w:hAnsi="Times New Roman" w:eastAsia="方正仿宋_GBK" w:cs="方正仿宋_GBK"/>
                <w:sz w:val="21"/>
                <w:szCs w:val="21"/>
                <w:lang w:eastAsia="zh-CN"/>
              </w:rPr>
              <w:t>、</w:t>
            </w:r>
            <w:r>
              <w:rPr>
                <w:rFonts w:hint="eastAsia" w:ascii="Times New Roman" w:hAnsi="Times New Roman" w:eastAsia="方正仿宋_GBK" w:cs="方正仿宋_GBK"/>
                <w:sz w:val="21"/>
                <w:szCs w:val="21"/>
                <w:lang w:val="en-US" w:eastAsia="zh-CN"/>
              </w:rPr>
              <w:t>二十一条、二十三条</w:t>
            </w:r>
          </w:p>
        </w:tc>
        <w:tc>
          <w:tcPr>
            <w:tcW w:w="2235" w:type="dxa"/>
            <w:noWrap/>
            <w:vAlign w:val="top"/>
          </w:tcPr>
          <w:p w14:paraId="6C7D93E6">
            <w:pP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rPr>
              <w:t>互联网上网服务营业场所</w:t>
            </w:r>
            <w:r>
              <w:rPr>
                <w:rFonts w:hint="eastAsia" w:ascii="Times New Roman" w:hAnsi="Times New Roman" w:eastAsia="方正仿宋_GBK" w:cs="方正仿宋_GBK"/>
                <w:sz w:val="21"/>
                <w:szCs w:val="21"/>
                <w:lang w:eastAsia="zh-CN"/>
              </w:rPr>
              <w:t>（</w:t>
            </w:r>
            <w:r>
              <w:rPr>
                <w:rFonts w:hint="eastAsia" w:ascii="Times New Roman" w:hAnsi="Times New Roman" w:eastAsia="方正仿宋_GBK" w:cs="方正仿宋_GBK"/>
                <w:sz w:val="21"/>
                <w:szCs w:val="21"/>
                <w:lang w:val="en-US" w:eastAsia="zh-CN"/>
              </w:rPr>
              <w:t>网吧、电竞酒店等</w:t>
            </w:r>
            <w:r>
              <w:rPr>
                <w:rFonts w:hint="eastAsia" w:ascii="Times New Roman" w:hAnsi="Times New Roman" w:eastAsia="方正仿宋_GBK" w:cs="方正仿宋_GBK"/>
                <w:sz w:val="21"/>
                <w:szCs w:val="21"/>
                <w:lang w:eastAsia="zh-CN"/>
              </w:rPr>
              <w:t>）</w:t>
            </w:r>
          </w:p>
        </w:tc>
        <w:tc>
          <w:tcPr>
            <w:tcW w:w="5115" w:type="dxa"/>
            <w:noWrap/>
            <w:vAlign w:val="top"/>
          </w:tcPr>
          <w:p w14:paraId="3C6B88E4">
            <w:pP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rPr>
              <w:t>按照《互联网安全保护技术措施规定》</w:t>
            </w:r>
            <w:r>
              <w:rPr>
                <w:rFonts w:hint="eastAsia" w:ascii="Times New Roman" w:hAnsi="Times New Roman" w:eastAsia="方正仿宋_GBK" w:cs="方正仿宋_GBK"/>
                <w:sz w:val="21"/>
                <w:szCs w:val="21"/>
                <w:lang w:eastAsia="zh-CN"/>
              </w:rPr>
              <w:t>、</w:t>
            </w:r>
            <w:r>
              <w:rPr>
                <w:rFonts w:hint="eastAsia" w:ascii="Times New Roman" w:hAnsi="Times New Roman" w:eastAsia="方正仿宋_GBK" w:cs="方正仿宋_GBK"/>
                <w:sz w:val="21"/>
                <w:szCs w:val="21"/>
              </w:rPr>
              <w:t>《互联网上网服务营业场所管理条例》相关规定</w:t>
            </w:r>
            <w:r>
              <w:rPr>
                <w:rFonts w:hint="eastAsia" w:ascii="Times New Roman" w:hAnsi="Times New Roman" w:eastAsia="方正仿宋_GBK" w:cs="方正仿宋_GBK"/>
                <w:sz w:val="21"/>
                <w:szCs w:val="21"/>
                <w:lang w:eastAsia="zh-CN"/>
              </w:rPr>
              <w:t>：</w:t>
            </w:r>
            <w:r>
              <w:rPr>
                <w:rFonts w:hint="eastAsia" w:ascii="Times New Roman" w:hAnsi="Times New Roman" w:eastAsia="方正仿宋_GBK" w:cs="方正仿宋_GBK"/>
                <w:sz w:val="21"/>
                <w:szCs w:val="21"/>
              </w:rPr>
              <w:t>互联网安全保护技术措施应当符合国家标准</w:t>
            </w:r>
            <w:r>
              <w:rPr>
                <w:rFonts w:hint="eastAsia" w:ascii="Times New Roman" w:hAnsi="Times New Roman" w:eastAsia="方正仿宋_GBK" w:cs="方正仿宋_GBK"/>
                <w:sz w:val="21"/>
                <w:szCs w:val="21"/>
                <w:lang w:eastAsia="zh-CN"/>
              </w:rPr>
              <w:t>，</w:t>
            </w:r>
            <w:r>
              <w:rPr>
                <w:rFonts w:hint="eastAsia" w:ascii="Times New Roman" w:hAnsi="Times New Roman" w:eastAsia="方正仿宋_GBK" w:cs="方正仿宋_GBK"/>
                <w:sz w:val="21"/>
                <w:szCs w:val="21"/>
              </w:rPr>
              <w:t>互联网上网服务营业场所经营单位不得接纳未成年人进入营业场所</w:t>
            </w:r>
          </w:p>
        </w:tc>
      </w:tr>
      <w:tr w14:paraId="67753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0" w:type="dxa"/>
            <w:noWrap/>
            <w:vAlign w:val="top"/>
          </w:tcPr>
          <w:p w14:paraId="622E90A9">
            <w:pP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rPr>
              <w:t>对互联网服务提供者和联网使用单位履行网络安全义务情况进行安全监督检查</w:t>
            </w:r>
          </w:p>
        </w:tc>
        <w:tc>
          <w:tcPr>
            <w:tcW w:w="4515" w:type="dxa"/>
            <w:noWrap/>
            <w:vAlign w:val="top"/>
          </w:tcPr>
          <w:p w14:paraId="68C93640">
            <w:pP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1、《公安机关互联网安全监督检查规定》第二条</w:t>
            </w:r>
          </w:p>
          <w:p w14:paraId="68302B0C">
            <w:pP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2、</w:t>
            </w:r>
            <w:r>
              <w:rPr>
                <w:rFonts w:hint="eastAsia" w:ascii="Times New Roman" w:hAnsi="Times New Roman" w:eastAsia="方正仿宋_GBK" w:cs="方正仿宋_GBK"/>
                <w:sz w:val="21"/>
                <w:szCs w:val="21"/>
                <w:lang w:eastAsia="zh-CN"/>
              </w:rPr>
              <w:t>《</w:t>
            </w:r>
            <w:r>
              <w:rPr>
                <w:rFonts w:hint="eastAsia" w:ascii="Times New Roman" w:hAnsi="Times New Roman" w:eastAsia="方正仿宋_GBK" w:cs="方正仿宋_GBK"/>
                <w:sz w:val="21"/>
                <w:szCs w:val="21"/>
                <w:lang w:val="en-US" w:eastAsia="zh-CN"/>
              </w:rPr>
              <w:t>中华人民共和国网络安全法</w:t>
            </w:r>
            <w:r>
              <w:rPr>
                <w:rFonts w:hint="eastAsia" w:ascii="Times New Roman" w:hAnsi="Times New Roman" w:eastAsia="方正仿宋_GBK" w:cs="方正仿宋_GBK"/>
                <w:sz w:val="21"/>
                <w:szCs w:val="21"/>
                <w:lang w:eastAsia="zh-CN"/>
              </w:rPr>
              <w:t>》</w:t>
            </w:r>
            <w:r>
              <w:rPr>
                <w:rFonts w:hint="eastAsia" w:ascii="Times New Roman" w:hAnsi="Times New Roman" w:eastAsia="方正仿宋_GBK" w:cs="方正仿宋_GBK"/>
                <w:sz w:val="21"/>
                <w:szCs w:val="21"/>
                <w:lang w:val="en-US" w:eastAsia="zh-CN"/>
              </w:rPr>
              <w:t>第二十一条</w:t>
            </w:r>
          </w:p>
        </w:tc>
        <w:tc>
          <w:tcPr>
            <w:tcW w:w="2235" w:type="dxa"/>
            <w:noWrap/>
            <w:vAlign w:val="top"/>
          </w:tcPr>
          <w:p w14:paraId="3ADA540E">
            <w:pP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各电信网络运营商</w:t>
            </w:r>
          </w:p>
        </w:tc>
        <w:tc>
          <w:tcPr>
            <w:tcW w:w="5115" w:type="dxa"/>
            <w:noWrap/>
            <w:vAlign w:val="top"/>
          </w:tcPr>
          <w:p w14:paraId="594EDF49">
            <w:pP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落实网络安全领导小组工作开展情况、网络安全工作开展情况</w:t>
            </w:r>
            <w:r>
              <w:rPr>
                <w:rFonts w:hint="eastAsia" w:ascii="Times New Roman" w:hAnsi="Times New Roman" w:eastAsia="方正仿宋_GBK" w:cs="方正仿宋_GBK"/>
                <w:sz w:val="21"/>
                <w:szCs w:val="21"/>
              </w:rPr>
              <w:t>等事项</w:t>
            </w:r>
          </w:p>
        </w:tc>
      </w:tr>
      <w:tr w14:paraId="09D5D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0" w:type="dxa"/>
            <w:noWrap/>
            <w:vAlign w:val="top"/>
          </w:tcPr>
          <w:p w14:paraId="427DB3FD">
            <w:pP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rPr>
              <w:t>互联网服务提供者、联网使用单位负责落实互联网安全保护技术措施，并保障互联网安全保护技术措施功能的正常发挥。</w:t>
            </w:r>
          </w:p>
        </w:tc>
        <w:tc>
          <w:tcPr>
            <w:tcW w:w="4515" w:type="dxa"/>
            <w:noWrap/>
            <w:vAlign w:val="top"/>
          </w:tcPr>
          <w:p w14:paraId="692C84DA">
            <w:pP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1、《信息安全等级保护管理办法》第三条</w:t>
            </w:r>
          </w:p>
          <w:p w14:paraId="649309AB">
            <w:pP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2、《中华人民共和国计算机信息系统安全保护条例》第十七条</w:t>
            </w:r>
          </w:p>
          <w:p w14:paraId="5EB83DBF">
            <w:pPr>
              <w:rPr>
                <w:rFonts w:hint="default"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3、《计算机病毒防治管理办法》第十五条</w:t>
            </w:r>
          </w:p>
          <w:p w14:paraId="05DA6583">
            <w:pPr>
              <w:rPr>
                <w:rFonts w:hint="default"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4、《计算机信息网络国际联网安全保护管理办法》第十七条</w:t>
            </w:r>
          </w:p>
          <w:p w14:paraId="3DCD8A09">
            <w:pPr>
              <w:rPr>
                <w:rFonts w:hint="eastAsia" w:ascii="Times New Roman" w:hAnsi="Times New Roman" w:eastAsia="方正仿宋_GBK" w:cs="方正仿宋_GBK"/>
                <w:sz w:val="21"/>
                <w:szCs w:val="21"/>
                <w:lang w:val="en-US" w:eastAsia="zh-CN"/>
              </w:rPr>
            </w:pPr>
          </w:p>
        </w:tc>
        <w:tc>
          <w:tcPr>
            <w:tcW w:w="2235" w:type="dxa"/>
            <w:noWrap/>
            <w:vAlign w:val="top"/>
          </w:tcPr>
          <w:p w14:paraId="53BDE164">
            <w:pPr>
              <w:rPr>
                <w:rFonts w:hint="default"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开展等级保护的企业</w:t>
            </w:r>
          </w:p>
          <w:p w14:paraId="4C4718AC">
            <w:pPr>
              <w:rPr>
                <w:rFonts w:hint="eastAsia" w:ascii="Times New Roman" w:hAnsi="Times New Roman" w:eastAsia="方正仿宋_GBK" w:cs="方正仿宋_GBK"/>
                <w:sz w:val="21"/>
                <w:szCs w:val="21"/>
                <w:lang w:val="en-US" w:eastAsia="zh-CN"/>
              </w:rPr>
            </w:pPr>
          </w:p>
          <w:p w14:paraId="080BAA7B">
            <w:pPr>
              <w:rPr>
                <w:rFonts w:hint="eastAsia" w:ascii="Times New Roman" w:hAnsi="Times New Roman" w:eastAsia="方正仿宋_GBK" w:cs="方正仿宋_GBK"/>
                <w:sz w:val="21"/>
                <w:szCs w:val="21"/>
                <w:lang w:val="en-US" w:eastAsia="zh-CN"/>
              </w:rPr>
            </w:pPr>
          </w:p>
          <w:p w14:paraId="5E7AFB42">
            <w:pPr>
              <w:rPr>
                <w:rFonts w:hint="eastAsia" w:ascii="Times New Roman" w:hAnsi="Times New Roman" w:eastAsia="方正仿宋_GBK" w:cs="方正仿宋_GBK"/>
                <w:sz w:val="21"/>
                <w:szCs w:val="21"/>
                <w:lang w:val="en-US" w:eastAsia="zh-CN"/>
              </w:rPr>
            </w:pPr>
          </w:p>
          <w:p w14:paraId="2AA0F087">
            <w:pPr>
              <w:rPr>
                <w:rFonts w:hint="eastAsia" w:ascii="Times New Roman" w:hAnsi="Times New Roman" w:eastAsia="方正仿宋_GBK" w:cs="方正仿宋_GBK"/>
                <w:sz w:val="21"/>
                <w:szCs w:val="21"/>
                <w:lang w:val="en-US" w:eastAsia="zh-CN"/>
              </w:rPr>
            </w:pPr>
          </w:p>
          <w:p w14:paraId="0EDDBC27">
            <w:pPr>
              <w:rPr>
                <w:rFonts w:hint="eastAsia" w:ascii="Times New Roman" w:hAnsi="Times New Roman" w:eastAsia="方正仿宋_GBK" w:cs="方正仿宋_GBK"/>
                <w:sz w:val="21"/>
                <w:szCs w:val="21"/>
                <w:lang w:val="en-US" w:eastAsia="zh-CN"/>
              </w:rPr>
            </w:pPr>
          </w:p>
        </w:tc>
        <w:tc>
          <w:tcPr>
            <w:tcW w:w="5115" w:type="dxa"/>
            <w:noWrap/>
            <w:vAlign w:val="top"/>
          </w:tcPr>
          <w:p w14:paraId="5D2AC01C">
            <w:pP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对信息系统安全等级保护进行监督、检查</w:t>
            </w:r>
          </w:p>
        </w:tc>
      </w:tr>
      <w:tr w14:paraId="6932C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0" w:type="dxa"/>
            <w:noWrap/>
            <w:vAlign w:val="center"/>
          </w:tcPr>
          <w:p w14:paraId="5FE798C6">
            <w:pPr>
              <w:jc w:val="center"/>
              <w:rPr>
                <w:rFonts w:hint="eastAsia" w:ascii="宋体" w:hAnsi="宋体" w:eastAsia="方正仿宋_GBK" w:cs="宋体"/>
                <w:sz w:val="21"/>
                <w:szCs w:val="21"/>
                <w:lang w:val="en-US" w:eastAsia="zh-CN"/>
              </w:rPr>
            </w:pPr>
            <w:r>
              <w:rPr>
                <w:rFonts w:hint="eastAsia" w:ascii="宋体" w:hAnsi="宋体" w:eastAsia="方正仿宋_GBK" w:cs="宋体"/>
                <w:sz w:val="21"/>
                <w:szCs w:val="21"/>
                <w:lang w:val="en-US" w:eastAsia="zh-CN"/>
              </w:rPr>
              <w:t>对易制毒化学品进行检查</w:t>
            </w:r>
          </w:p>
        </w:tc>
        <w:tc>
          <w:tcPr>
            <w:tcW w:w="4515" w:type="dxa"/>
            <w:noWrap/>
            <w:vAlign w:val="center"/>
          </w:tcPr>
          <w:p w14:paraId="4D6F2E6A">
            <w:pPr>
              <w:jc w:val="center"/>
              <w:rPr>
                <w:rFonts w:hint="eastAsia" w:ascii="宋体" w:hAnsi="宋体" w:eastAsia="方正仿宋_GBK" w:cs="宋体"/>
                <w:sz w:val="21"/>
                <w:szCs w:val="21"/>
                <w:lang w:val="en-US" w:eastAsia="zh-CN"/>
              </w:rPr>
            </w:pPr>
            <w:r>
              <w:rPr>
                <w:rFonts w:hint="eastAsia" w:ascii="宋体" w:hAnsi="宋体" w:eastAsia="方正仿宋_GBK" w:cs="宋体"/>
                <w:sz w:val="21"/>
                <w:szCs w:val="21"/>
                <w:lang w:eastAsia="zh-CN"/>
              </w:rPr>
              <w:t>《易制毒化学品管理条例》第三十二条</w:t>
            </w:r>
          </w:p>
        </w:tc>
        <w:tc>
          <w:tcPr>
            <w:tcW w:w="2235" w:type="dxa"/>
            <w:noWrap/>
            <w:vAlign w:val="center"/>
          </w:tcPr>
          <w:p w14:paraId="47C7658A">
            <w:pPr>
              <w:jc w:val="center"/>
              <w:rPr>
                <w:rFonts w:hint="eastAsia" w:ascii="Times New Roman" w:hAnsi="Times New Roman" w:eastAsia="方正小标宋_GBK" w:cs="方正小标宋_GBK"/>
                <w:kern w:val="2"/>
                <w:sz w:val="21"/>
                <w:szCs w:val="21"/>
                <w:lang w:val="en-US" w:eastAsia="zh-CN" w:bidi="ar-SA"/>
              </w:rPr>
            </w:pPr>
            <w:r>
              <w:rPr>
                <w:rFonts w:hint="eastAsia" w:ascii="宋体" w:hAnsi="宋体" w:eastAsia="方正仿宋_GBK" w:cs="宋体"/>
                <w:sz w:val="21"/>
                <w:szCs w:val="21"/>
                <w:lang w:eastAsia="zh-CN"/>
              </w:rPr>
              <w:t>易制毒化学品使用和经营</w:t>
            </w:r>
            <w:r>
              <w:rPr>
                <w:rFonts w:hint="eastAsia" w:ascii="Times New Roman" w:hAnsi="Times New Roman" w:eastAsia="方正仿宋_GBK" w:cs="方正仿宋_GBK"/>
                <w:sz w:val="21"/>
                <w:szCs w:val="21"/>
              </w:rPr>
              <w:t>行业</w:t>
            </w:r>
          </w:p>
        </w:tc>
        <w:tc>
          <w:tcPr>
            <w:tcW w:w="5115" w:type="dxa"/>
            <w:noWrap/>
            <w:vAlign w:val="center"/>
          </w:tcPr>
          <w:p w14:paraId="6B27E368">
            <w:pPr>
              <w:jc w:val="center"/>
              <w:rPr>
                <w:rFonts w:hint="eastAsia" w:ascii="Times New Roman" w:hAnsi="Times New Roman" w:eastAsia="方正小标宋_GBK" w:cs="方正小标宋_GBK"/>
                <w:kern w:val="2"/>
                <w:sz w:val="21"/>
                <w:szCs w:val="21"/>
                <w:lang w:val="en-US" w:eastAsia="zh-CN" w:bidi="ar-SA"/>
              </w:rPr>
            </w:pPr>
            <w:r>
              <w:rPr>
                <w:rFonts w:hint="eastAsia" w:ascii="Times New Roman" w:hAnsi="Times New Roman" w:eastAsia="方正仿宋_GBK" w:cs="方正仿宋_GBK"/>
                <w:sz w:val="21"/>
                <w:szCs w:val="21"/>
              </w:rPr>
              <w:t>按照《易制毒化学品管理条例》、《易制毒化学品购销和运输管理办法》等相关规定</w:t>
            </w:r>
          </w:p>
        </w:tc>
      </w:tr>
    </w:tbl>
    <w:p w14:paraId="4EF5C4DF">
      <w:pPr>
        <w:rPr>
          <w:rFonts w:ascii="方正黑体_GBK" w:hAnsi="方正黑体_GBK" w:eastAsia="方正黑体_GBK" w:cs="方正黑体_GBK"/>
          <w:szCs w:val="33"/>
        </w:rPr>
      </w:pPr>
      <w:r>
        <w:rPr>
          <w:rFonts w:hint="eastAsia" w:ascii="方正黑体_GBK" w:hAnsi="方正黑体_GBK" w:eastAsia="方正黑体_GBK" w:cs="方正黑体_GBK"/>
          <w:szCs w:val="33"/>
        </w:rPr>
        <w:br w:type="page"/>
      </w:r>
    </w:p>
    <w:p w14:paraId="2DDA1141"/>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027A54"/>
    <w:rsid w:val="11027A54"/>
    <w:rsid w:val="3E774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3"/>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szCs w:val="32"/>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2012</Words>
  <Characters>2022</Characters>
  <Lines>0</Lines>
  <Paragraphs>0</Paragraphs>
  <TotalTime>0</TotalTime>
  <ScaleCrop>false</ScaleCrop>
  <LinksUpToDate>false</LinksUpToDate>
  <CharactersWithSpaces>2032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2025-04-23T02:40:00Z</dcterms:created>
  <dc:creator>Administrator</dc:creator>
  <cp:lastModifiedBy>风吃了月亮才怪</cp:lastModifiedBy>
  <dcterms:modified xsi:type="dcterms:W3CDTF">2025-04-24T07:46:21Z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eyJoZGlkIjoiNWJiNGQzODM0ODQyNmQzNDlmYWVlZGM0MzkzNTk1NGYiLCJ1c2VySWQiOiIzNTY4NjIxNTIifQ==</vt:lpwstr>
  </property>
  <property fmtid="{D5CDD505-2E9C-101B-9397-08002B2CF9AE}" pid="4" name="ICV">
    <vt:lpwstr>FA9BACA2E1F547E2A0FB5E251F9867F8_12</vt:lpwstr>
  </property>
</Properties>
</file>