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60" w:type="dxa"/>
        <w:tblInd w:w="-20" w:type="dxa"/>
        <w:tblLayout w:type="fixed"/>
        <w:tblCellMar>
          <w:top w:w="0" w:type="dxa"/>
          <w:left w:w="108" w:type="dxa"/>
          <w:bottom w:w="0" w:type="dxa"/>
          <w:right w:w="108" w:type="dxa"/>
        </w:tblCellMar>
      </w:tblPr>
      <w:tblGrid>
        <w:gridCol w:w="20"/>
        <w:gridCol w:w="1040"/>
        <w:gridCol w:w="1094"/>
        <w:gridCol w:w="2463"/>
        <w:gridCol w:w="15"/>
        <w:gridCol w:w="6192"/>
        <w:gridCol w:w="1241"/>
        <w:gridCol w:w="1243"/>
        <w:gridCol w:w="752"/>
      </w:tblGrid>
      <w:tr>
        <w:tblPrEx>
          <w:tblCellMar>
            <w:top w:w="0" w:type="dxa"/>
            <w:left w:w="108" w:type="dxa"/>
            <w:bottom w:w="0" w:type="dxa"/>
            <w:right w:w="108" w:type="dxa"/>
          </w:tblCellMar>
        </w:tblPrEx>
        <w:trPr>
          <w:gridBefore w:val="1"/>
          <w:wBefore w:w="20" w:type="dxa"/>
          <w:trHeight w:val="458" w:hRule="atLeast"/>
        </w:trPr>
        <w:tc>
          <w:tcPr>
            <w:tcW w:w="14040" w:type="dxa"/>
            <w:gridSpan w:val="8"/>
            <w:tcBorders>
              <w:top w:val="single" w:color="FFFFFF" w:sz="4" w:space="0"/>
              <w:left w:val="single" w:color="FFFFFF" w:sz="4" w:space="0"/>
              <w:bottom w:val="single" w:color="FFFFFF" w:sz="4" w:space="0"/>
              <w:right w:val="single" w:color="FFFFFF" w:sz="4" w:space="0"/>
            </w:tcBorders>
            <w:vAlign w:val="center"/>
          </w:tcPr>
          <w:p>
            <w:pPr>
              <w:widowControl/>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2022年部门预算整体支出绩效目标表</w:t>
            </w:r>
          </w:p>
        </w:tc>
      </w:tr>
      <w:tr>
        <w:tblPrEx>
          <w:tblCellMar>
            <w:top w:w="0" w:type="dxa"/>
            <w:left w:w="108" w:type="dxa"/>
            <w:bottom w:w="0" w:type="dxa"/>
            <w:right w:w="108" w:type="dxa"/>
          </w:tblCellMar>
        </w:tblPrEx>
        <w:trPr>
          <w:trHeight w:val="392" w:hRule="atLeast"/>
        </w:trPr>
        <w:tc>
          <w:tcPr>
            <w:tcW w:w="215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单位名称</w:t>
            </w:r>
          </w:p>
        </w:tc>
        <w:tc>
          <w:tcPr>
            <w:tcW w:w="11906"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华蓥市林业发展中心（含华蓥市东方红国有林场、华蓥市天池国有林场）</w:t>
            </w:r>
          </w:p>
        </w:tc>
      </w:tr>
      <w:tr>
        <w:tblPrEx>
          <w:tblCellMar>
            <w:top w:w="0" w:type="dxa"/>
            <w:left w:w="108" w:type="dxa"/>
            <w:bottom w:w="0" w:type="dxa"/>
            <w:right w:w="108" w:type="dxa"/>
          </w:tblCellMar>
        </w:tblPrEx>
        <w:trPr>
          <w:trHeight w:val="192" w:hRule="atLeast"/>
        </w:trPr>
        <w:tc>
          <w:tcPr>
            <w:tcW w:w="106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年度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主要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任务</w:t>
            </w:r>
          </w:p>
        </w:tc>
        <w:tc>
          <w:tcPr>
            <w:tcW w:w="109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任务名称</w:t>
            </w:r>
          </w:p>
        </w:tc>
        <w:tc>
          <w:tcPr>
            <w:tcW w:w="247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主要任务</w:t>
            </w:r>
          </w:p>
        </w:tc>
        <w:tc>
          <w:tcPr>
            <w:tcW w:w="619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任务内容</w:t>
            </w:r>
          </w:p>
        </w:tc>
        <w:tc>
          <w:tcPr>
            <w:tcW w:w="323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预算金额（元）</w:t>
            </w:r>
          </w:p>
        </w:tc>
      </w:tr>
      <w:tr>
        <w:tblPrEx>
          <w:tblCellMar>
            <w:top w:w="0" w:type="dxa"/>
            <w:left w:w="108" w:type="dxa"/>
            <w:bottom w:w="0" w:type="dxa"/>
            <w:right w:w="108" w:type="dxa"/>
          </w:tblCellMar>
        </w:tblPrEx>
        <w:trPr>
          <w:trHeight w:val="192"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4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61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总额</w:t>
            </w:r>
          </w:p>
        </w:tc>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财政拨款</w:t>
            </w:r>
          </w:p>
        </w:tc>
        <w:tc>
          <w:tcPr>
            <w:tcW w:w="7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其他资金</w:t>
            </w:r>
          </w:p>
        </w:tc>
      </w:tr>
      <w:tr>
        <w:tblPrEx>
          <w:tblCellMar>
            <w:top w:w="0" w:type="dxa"/>
            <w:left w:w="108" w:type="dxa"/>
            <w:bottom w:w="0" w:type="dxa"/>
            <w:right w:w="108" w:type="dxa"/>
          </w:tblCellMar>
        </w:tblPrEx>
        <w:trPr>
          <w:trHeight w:val="714"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任务1</w:t>
            </w:r>
          </w:p>
        </w:tc>
        <w:tc>
          <w:tcPr>
            <w:tcW w:w="24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基本预算支出</w:t>
            </w:r>
          </w:p>
        </w:tc>
        <w:tc>
          <w:tcPr>
            <w:tcW w:w="61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保障人员工资发放及正常运转</w:t>
            </w:r>
          </w:p>
        </w:tc>
        <w:tc>
          <w:tcPr>
            <w:tcW w:w="1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kern w:val="0"/>
                <w:sz w:val="18"/>
                <w:szCs w:val="18"/>
              </w:rPr>
            </w:pPr>
            <w:r>
              <w:rPr>
                <w:rFonts w:hint="eastAsia" w:ascii="宋体" w:hAnsi="宋体" w:eastAsia="宋体" w:cs="宋体"/>
                <w:kern w:val="0"/>
                <w:sz w:val="18"/>
                <w:szCs w:val="18"/>
              </w:rPr>
              <w:t>13,719,946.33</w:t>
            </w:r>
          </w:p>
        </w:tc>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kern w:val="0"/>
                <w:sz w:val="18"/>
                <w:szCs w:val="18"/>
              </w:rPr>
            </w:pPr>
            <w:r>
              <w:rPr>
                <w:rFonts w:hint="eastAsia" w:ascii="宋体" w:hAnsi="宋体" w:eastAsia="宋体" w:cs="宋体"/>
                <w:kern w:val="0"/>
                <w:sz w:val="18"/>
                <w:szCs w:val="18"/>
              </w:rPr>
              <w:t>13,719,946.33</w:t>
            </w:r>
          </w:p>
        </w:tc>
        <w:tc>
          <w:tcPr>
            <w:tcW w:w="7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963"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任务2</w:t>
            </w:r>
          </w:p>
        </w:tc>
        <w:tc>
          <w:tcPr>
            <w:tcW w:w="24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森林防火</w:t>
            </w:r>
          </w:p>
        </w:tc>
        <w:tc>
          <w:tcPr>
            <w:tcW w:w="61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为贯彻落实省、市森林防灭专项整治工作要求,面向全市做好森林火灾的预防、扑救及其保障工作,围绕应急处置突发森林火灾,消除隐患,全面提升我市森林火灾防控能力,有效遏制森林火灾发生,有效减少森林火灾发生率,减少森林火灾损失,需加强专业扑火队伍建设、稳定森林防火巡护和值守人员队伍、加强防火物资储备、切实清除坟头周边杂草、强化森林防火宣传等。组建森林防火专业队伍开展森林防火宣传重点时段蹲点值班巡护和森林防火巡护。</w:t>
            </w:r>
          </w:p>
        </w:tc>
        <w:tc>
          <w:tcPr>
            <w:tcW w:w="1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kern w:val="0"/>
                <w:sz w:val="18"/>
                <w:szCs w:val="18"/>
              </w:rPr>
            </w:pPr>
            <w:r>
              <w:rPr>
                <w:rFonts w:hint="eastAsia" w:ascii="宋体" w:hAnsi="宋体" w:eastAsia="宋体" w:cs="宋体"/>
                <w:kern w:val="0"/>
                <w:sz w:val="18"/>
                <w:szCs w:val="18"/>
              </w:rPr>
              <w:t>996,860</w:t>
            </w:r>
          </w:p>
        </w:tc>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kern w:val="0"/>
                <w:sz w:val="18"/>
                <w:szCs w:val="18"/>
              </w:rPr>
            </w:pPr>
            <w:r>
              <w:rPr>
                <w:rFonts w:hint="eastAsia" w:ascii="宋体" w:hAnsi="宋体" w:eastAsia="宋体" w:cs="宋体"/>
                <w:kern w:val="0"/>
                <w:sz w:val="18"/>
                <w:szCs w:val="18"/>
              </w:rPr>
              <w:t>996,860</w:t>
            </w:r>
          </w:p>
        </w:tc>
        <w:tc>
          <w:tcPr>
            <w:tcW w:w="7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sz w:val="18"/>
                <w:szCs w:val="18"/>
              </w:rPr>
            </w:pPr>
          </w:p>
        </w:tc>
      </w:tr>
      <w:tr>
        <w:tblPrEx>
          <w:tblCellMar>
            <w:top w:w="0" w:type="dxa"/>
            <w:left w:w="108" w:type="dxa"/>
            <w:bottom w:w="0" w:type="dxa"/>
            <w:right w:w="108" w:type="dxa"/>
          </w:tblCellMar>
        </w:tblPrEx>
        <w:trPr>
          <w:trHeight w:val="1145"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任务3</w:t>
            </w:r>
          </w:p>
        </w:tc>
        <w:tc>
          <w:tcPr>
            <w:tcW w:w="24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外来入侵物种普查实施与松材线虫病防治</w:t>
            </w:r>
          </w:p>
        </w:tc>
        <w:tc>
          <w:tcPr>
            <w:tcW w:w="61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对森林病虫害、枯死松树的日常监测及除治,完成外来入侵物种调查,开展日常监测、春秋季普查,松材线虫病防控宣传与培训,完成15000株枯（病）死松树除治,控制松材线虫病疫情蔓延,保护森林资源安全。</w:t>
            </w:r>
          </w:p>
        </w:tc>
        <w:tc>
          <w:tcPr>
            <w:tcW w:w="1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kern w:val="0"/>
                <w:sz w:val="18"/>
                <w:szCs w:val="18"/>
              </w:rPr>
            </w:pPr>
            <w:r>
              <w:rPr>
                <w:rFonts w:hint="eastAsia" w:ascii="宋体" w:hAnsi="宋体" w:eastAsia="宋体" w:cs="宋体"/>
                <w:kern w:val="0"/>
                <w:sz w:val="18"/>
                <w:szCs w:val="18"/>
              </w:rPr>
              <w:t>448,500</w:t>
            </w:r>
          </w:p>
        </w:tc>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kern w:val="0"/>
                <w:sz w:val="18"/>
                <w:szCs w:val="18"/>
              </w:rPr>
            </w:pPr>
            <w:r>
              <w:rPr>
                <w:rFonts w:hint="eastAsia" w:ascii="宋体" w:hAnsi="宋体" w:eastAsia="宋体" w:cs="宋体"/>
                <w:kern w:val="0"/>
                <w:sz w:val="18"/>
                <w:szCs w:val="18"/>
              </w:rPr>
              <w:t>448,500</w:t>
            </w:r>
          </w:p>
        </w:tc>
        <w:tc>
          <w:tcPr>
            <w:tcW w:w="7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723"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任务4</w:t>
            </w:r>
          </w:p>
        </w:tc>
        <w:tc>
          <w:tcPr>
            <w:tcW w:w="24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林长制</w:t>
            </w:r>
          </w:p>
        </w:tc>
        <w:tc>
          <w:tcPr>
            <w:tcW w:w="61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林长制是以保护发展森林草原资源为目标,以压实地方党委政府领导干部责任为核心,以制度体系建设为保障,以监督考核为手段,建立省、市、县、乡、村五级林（草）长组织责任体系,聚焦森林草原资源保护、发展和安全重点难点工作,构建党政同责、属地负责、部门协同、源头治理、全域覆盖的长效机制,实现生态改善、绿色发展、安全稳定,筑牢长江黄河上游生态屏障,开展林长制工作,制作林长制公示牌,培训乡村一长两员,宣传林长制工作和生态环境保护工作等。</w:t>
            </w:r>
          </w:p>
        </w:tc>
        <w:tc>
          <w:tcPr>
            <w:tcW w:w="1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kern w:val="0"/>
                <w:sz w:val="18"/>
                <w:szCs w:val="18"/>
              </w:rPr>
            </w:pPr>
            <w:r>
              <w:rPr>
                <w:rFonts w:hint="eastAsia" w:ascii="宋体" w:hAnsi="宋体" w:eastAsia="宋体" w:cs="宋体"/>
                <w:kern w:val="0"/>
                <w:sz w:val="18"/>
                <w:szCs w:val="18"/>
              </w:rPr>
              <w:t>400,000</w:t>
            </w:r>
          </w:p>
        </w:tc>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kern w:val="0"/>
                <w:sz w:val="18"/>
                <w:szCs w:val="18"/>
              </w:rPr>
            </w:pPr>
            <w:r>
              <w:rPr>
                <w:rFonts w:hint="eastAsia" w:ascii="宋体" w:hAnsi="宋体" w:eastAsia="宋体" w:cs="宋体"/>
                <w:kern w:val="0"/>
                <w:sz w:val="18"/>
                <w:szCs w:val="18"/>
              </w:rPr>
              <w:t>400,000</w:t>
            </w:r>
          </w:p>
        </w:tc>
        <w:tc>
          <w:tcPr>
            <w:tcW w:w="7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723"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任务五</w:t>
            </w:r>
          </w:p>
        </w:tc>
        <w:tc>
          <w:tcPr>
            <w:tcW w:w="24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农业生产发展</w:t>
            </w:r>
          </w:p>
        </w:tc>
        <w:tc>
          <w:tcPr>
            <w:tcW w:w="61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油樟现代林业园区和花卉林业园区建设</w:t>
            </w:r>
          </w:p>
        </w:tc>
        <w:tc>
          <w:tcPr>
            <w:tcW w:w="1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hint="default" w:ascii="宋体" w:hAnsi="宋体" w:eastAsia="宋体" w:cs="宋体"/>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1,000,000</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hint="default" w:ascii="宋体" w:hAnsi="宋体" w:eastAsia="宋体" w:cs="宋体"/>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1,000,000</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7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10"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764"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p>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金额合计</w:t>
            </w:r>
          </w:p>
        </w:tc>
        <w:tc>
          <w:tcPr>
            <w:tcW w:w="1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6</w:t>
            </w:r>
            <w:r>
              <w:rPr>
                <w:rFonts w:hint="eastAsia" w:ascii="宋体" w:hAnsi="宋体" w:eastAsia="宋体" w:cs="宋体"/>
                <w:sz w:val="18"/>
                <w:szCs w:val="18"/>
              </w:rPr>
              <w:t>,565,306.33</w:t>
            </w:r>
          </w:p>
        </w:tc>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6</w:t>
            </w:r>
            <w:r>
              <w:rPr>
                <w:rFonts w:hint="eastAsia" w:ascii="宋体" w:hAnsi="宋体" w:eastAsia="宋体" w:cs="宋体"/>
                <w:sz w:val="18"/>
                <w:szCs w:val="18"/>
              </w:rPr>
              <w:t>,565,306.33</w:t>
            </w:r>
          </w:p>
        </w:tc>
        <w:tc>
          <w:tcPr>
            <w:tcW w:w="7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right"/>
              <w:textAlignment w:val="center"/>
              <w:rPr>
                <w:rFonts w:ascii="宋体" w:hAnsi="宋体" w:eastAsia="宋体" w:cs="宋体"/>
                <w:sz w:val="18"/>
                <w:szCs w:val="18"/>
              </w:rPr>
            </w:pPr>
          </w:p>
        </w:tc>
      </w:tr>
      <w:tr>
        <w:tblPrEx>
          <w:tblCellMar>
            <w:top w:w="0" w:type="dxa"/>
            <w:left w:w="108" w:type="dxa"/>
            <w:bottom w:w="0" w:type="dxa"/>
            <w:right w:w="108" w:type="dxa"/>
          </w:tblCellMar>
        </w:tblPrEx>
        <w:trPr>
          <w:trHeight w:val="546" w:hRule="atLeast"/>
        </w:trPr>
        <w:tc>
          <w:tcPr>
            <w:tcW w:w="10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年度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总体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目标</w:t>
            </w:r>
          </w:p>
        </w:tc>
        <w:tc>
          <w:tcPr>
            <w:tcW w:w="13000"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完成年度工作任务</w:t>
            </w:r>
          </w:p>
        </w:tc>
      </w:tr>
      <w:tr>
        <w:tblPrEx>
          <w:tblCellMar>
            <w:top w:w="0" w:type="dxa"/>
            <w:left w:w="108" w:type="dxa"/>
            <w:bottom w:w="0" w:type="dxa"/>
            <w:right w:w="108" w:type="dxa"/>
          </w:tblCellMar>
        </w:tblPrEx>
        <w:trPr>
          <w:trHeight w:val="369" w:hRule="atLeast"/>
        </w:trPr>
        <w:tc>
          <w:tcPr>
            <w:tcW w:w="10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绩效指标</w:t>
            </w:r>
          </w:p>
        </w:tc>
        <w:tc>
          <w:tcPr>
            <w:tcW w:w="10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24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620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323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指标值（包含数字及文字描述）</w:t>
            </w:r>
          </w:p>
        </w:tc>
      </w:tr>
      <w:tr>
        <w:tblPrEx>
          <w:tblCellMar>
            <w:top w:w="0" w:type="dxa"/>
            <w:left w:w="108" w:type="dxa"/>
            <w:bottom w:w="0" w:type="dxa"/>
            <w:right w:w="108" w:type="dxa"/>
          </w:tblCellMar>
        </w:tblPrEx>
        <w:trPr>
          <w:trHeight w:val="192" w:hRule="atLeast"/>
        </w:trPr>
        <w:tc>
          <w:tcPr>
            <w:tcW w:w="106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eastAsia="宋体" w:cs="宋体"/>
                <w:sz w:val="18"/>
                <w:szCs w:val="18"/>
              </w:rPr>
            </w:pPr>
            <w:r>
              <w:rPr>
                <w:rFonts w:hint="eastAsia" w:ascii="宋体" w:hAnsi="宋体" w:eastAsia="宋体" w:cs="宋体"/>
                <w:sz w:val="18"/>
                <w:szCs w:val="18"/>
              </w:rPr>
              <w:t>绩效指标</w:t>
            </w:r>
          </w:p>
        </w:tc>
        <w:tc>
          <w:tcPr>
            <w:tcW w:w="109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sz w:val="18"/>
                <w:szCs w:val="18"/>
              </w:rPr>
            </w:pPr>
            <w:r>
              <w:rPr>
                <w:rFonts w:hint="eastAsia" w:ascii="宋体" w:hAnsi="宋体" w:eastAsia="宋体" w:cs="宋体"/>
                <w:sz w:val="18"/>
                <w:szCs w:val="18"/>
              </w:rPr>
              <w:t>完成指标</w:t>
            </w:r>
          </w:p>
        </w:tc>
        <w:tc>
          <w:tcPr>
            <w:tcW w:w="24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sz w:val="18"/>
                <w:szCs w:val="18"/>
              </w:rPr>
            </w:pPr>
            <w:r>
              <w:rPr>
                <w:rFonts w:hint="eastAsia" w:ascii="宋体" w:hAnsi="宋体" w:eastAsia="宋体" w:cs="宋体"/>
                <w:sz w:val="18"/>
                <w:szCs w:val="18"/>
              </w:rPr>
              <w:t>时效指标</w:t>
            </w:r>
          </w:p>
        </w:tc>
        <w:tc>
          <w:tcPr>
            <w:tcW w:w="620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完成时间</w:t>
            </w:r>
          </w:p>
        </w:tc>
        <w:tc>
          <w:tcPr>
            <w:tcW w:w="323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2022年12月底</w:t>
            </w:r>
          </w:p>
        </w:tc>
      </w:tr>
      <w:tr>
        <w:tblPrEx>
          <w:tblCellMar>
            <w:top w:w="0" w:type="dxa"/>
            <w:left w:w="108" w:type="dxa"/>
            <w:bottom w:w="0" w:type="dxa"/>
            <w:right w:w="108" w:type="dxa"/>
          </w:tblCellMar>
        </w:tblPrEx>
        <w:trPr>
          <w:trHeight w:val="192"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24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620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松树除治率（%）以上</w:t>
            </w:r>
          </w:p>
        </w:tc>
        <w:tc>
          <w:tcPr>
            <w:tcW w:w="323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95%</w:t>
            </w:r>
          </w:p>
        </w:tc>
      </w:tr>
      <w:tr>
        <w:tblPrEx>
          <w:tblCellMar>
            <w:top w:w="0" w:type="dxa"/>
            <w:left w:w="108" w:type="dxa"/>
            <w:bottom w:w="0" w:type="dxa"/>
            <w:right w:w="108" w:type="dxa"/>
          </w:tblCellMar>
        </w:tblPrEx>
        <w:trPr>
          <w:trHeight w:val="192"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246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620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基本运行（元）</w:t>
            </w:r>
          </w:p>
        </w:tc>
        <w:tc>
          <w:tcPr>
            <w:tcW w:w="323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13719946.33元</w:t>
            </w:r>
          </w:p>
        </w:tc>
      </w:tr>
      <w:tr>
        <w:tblPrEx>
          <w:tblCellMar>
            <w:top w:w="0" w:type="dxa"/>
            <w:left w:w="108" w:type="dxa"/>
            <w:bottom w:w="0" w:type="dxa"/>
            <w:right w:w="108" w:type="dxa"/>
          </w:tblCellMar>
        </w:tblPrEx>
        <w:trPr>
          <w:trHeight w:val="192"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620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森林防火（元）</w:t>
            </w:r>
          </w:p>
        </w:tc>
        <w:tc>
          <w:tcPr>
            <w:tcW w:w="323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996860元</w:t>
            </w:r>
          </w:p>
        </w:tc>
      </w:tr>
      <w:tr>
        <w:tblPrEx>
          <w:tblCellMar>
            <w:top w:w="0" w:type="dxa"/>
            <w:left w:w="108" w:type="dxa"/>
            <w:bottom w:w="0" w:type="dxa"/>
            <w:right w:w="108" w:type="dxa"/>
          </w:tblCellMar>
        </w:tblPrEx>
        <w:trPr>
          <w:trHeight w:val="192"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620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外来入侵物种普查实施与松材线虫病防治（元)</w:t>
            </w:r>
          </w:p>
        </w:tc>
        <w:tc>
          <w:tcPr>
            <w:tcW w:w="323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448500元</w:t>
            </w:r>
          </w:p>
        </w:tc>
      </w:tr>
      <w:tr>
        <w:tblPrEx>
          <w:tblCellMar>
            <w:top w:w="0" w:type="dxa"/>
            <w:left w:w="108" w:type="dxa"/>
            <w:bottom w:w="0" w:type="dxa"/>
            <w:right w:w="108" w:type="dxa"/>
          </w:tblCellMar>
        </w:tblPrEx>
        <w:trPr>
          <w:trHeight w:val="192"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2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620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林长制（元）</w:t>
            </w:r>
          </w:p>
        </w:tc>
        <w:tc>
          <w:tcPr>
            <w:tcW w:w="323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400000元</w:t>
            </w:r>
          </w:p>
        </w:tc>
      </w:tr>
      <w:tr>
        <w:tblPrEx>
          <w:tblCellMar>
            <w:top w:w="0" w:type="dxa"/>
            <w:left w:w="108" w:type="dxa"/>
            <w:bottom w:w="0" w:type="dxa"/>
            <w:right w:w="108" w:type="dxa"/>
          </w:tblCellMar>
        </w:tblPrEx>
        <w:trPr>
          <w:trHeight w:val="192"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620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农业生产发展（元）</w:t>
            </w:r>
          </w:p>
        </w:tc>
        <w:tc>
          <w:tcPr>
            <w:tcW w:w="323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1000000元</w:t>
            </w:r>
          </w:p>
        </w:tc>
      </w:tr>
      <w:tr>
        <w:tblPrEx>
          <w:tblCellMar>
            <w:top w:w="0" w:type="dxa"/>
            <w:left w:w="108" w:type="dxa"/>
            <w:bottom w:w="0" w:type="dxa"/>
            <w:right w:w="108" w:type="dxa"/>
          </w:tblCellMar>
        </w:tblPrEx>
        <w:trPr>
          <w:trHeight w:val="192"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109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24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620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森林防火安全检查覆盖率（%）</w:t>
            </w:r>
          </w:p>
        </w:tc>
        <w:tc>
          <w:tcPr>
            <w:tcW w:w="323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98%</w:t>
            </w:r>
          </w:p>
        </w:tc>
      </w:tr>
      <w:tr>
        <w:tblPrEx>
          <w:tblCellMar>
            <w:top w:w="0" w:type="dxa"/>
            <w:left w:w="108" w:type="dxa"/>
            <w:bottom w:w="0" w:type="dxa"/>
            <w:right w:w="108" w:type="dxa"/>
          </w:tblCellMar>
        </w:tblPrEx>
        <w:trPr>
          <w:trHeight w:val="192" w:hRule="atLeast"/>
        </w:trPr>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18"/>
                <w:szCs w:val="18"/>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4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620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生态环境改善明显,森林后续生长存活率（%）</w:t>
            </w:r>
          </w:p>
        </w:tc>
        <w:tc>
          <w:tcPr>
            <w:tcW w:w="323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98%</w:t>
            </w:r>
          </w:p>
        </w:tc>
      </w:tr>
    </w:tbl>
    <w:p>
      <w:pPr>
        <w:widowControl/>
        <w:jc w:val="left"/>
        <w:rPr>
          <w:kern w:val="0"/>
        </w:rPr>
      </w:pPr>
    </w:p>
    <w:p>
      <w:pPr>
        <w:widowControl/>
        <w:jc w:val="left"/>
        <w:rPr>
          <w:rFonts w:hint="eastAsia"/>
          <w:kern w:val="0"/>
        </w:rPr>
      </w:pPr>
    </w:p>
    <w:p>
      <w:pPr>
        <w:widowControl/>
        <w:jc w:val="left"/>
        <w:rPr>
          <w:rFonts w:hint="eastAsia"/>
          <w:kern w:val="0"/>
        </w:rPr>
      </w:pPr>
    </w:p>
    <w:p>
      <w:pPr>
        <w:widowControl/>
        <w:jc w:val="left"/>
        <w:rPr>
          <w:rFonts w:hint="eastAsia"/>
          <w:kern w:val="0"/>
        </w:rPr>
      </w:pPr>
    </w:p>
    <w:p>
      <w:pPr>
        <w:widowControl/>
        <w:jc w:val="left"/>
        <w:rPr>
          <w:kern w:val="0"/>
        </w:rPr>
      </w:pPr>
    </w:p>
    <w:p>
      <w:pPr>
        <w:widowControl/>
        <w:jc w:val="left"/>
        <w:rPr>
          <w:kern w:val="0"/>
        </w:rPr>
      </w:pPr>
    </w:p>
    <w:p>
      <w:pPr>
        <w:widowControl/>
        <w:jc w:val="left"/>
        <w:rPr>
          <w:kern w:val="0"/>
        </w:rPr>
      </w:pPr>
    </w:p>
    <w:p>
      <w:pPr>
        <w:widowControl/>
        <w:jc w:val="left"/>
        <w:rPr>
          <w:kern w:val="0"/>
        </w:rPr>
      </w:pPr>
    </w:p>
    <w:p>
      <w:pPr>
        <w:widowControl/>
        <w:jc w:val="left"/>
        <w:rPr>
          <w:kern w:val="0"/>
        </w:rPr>
      </w:pPr>
    </w:p>
    <w:p>
      <w:pPr>
        <w:widowControl/>
        <w:jc w:val="left"/>
        <w:rPr>
          <w:kern w:val="0"/>
        </w:rPr>
      </w:pPr>
    </w:p>
    <w:p>
      <w:pPr>
        <w:widowControl/>
        <w:jc w:val="left"/>
        <w:rPr>
          <w:kern w:val="0"/>
        </w:rPr>
      </w:pPr>
    </w:p>
    <w:p>
      <w:pPr>
        <w:widowControl/>
        <w:jc w:val="left"/>
        <w:rPr>
          <w:kern w:val="0"/>
        </w:rPr>
      </w:pPr>
    </w:p>
    <w:tbl>
      <w:tblPr>
        <w:tblStyle w:val="2"/>
        <w:tblW w:w="14140" w:type="dxa"/>
        <w:tblInd w:w="0" w:type="dxa"/>
        <w:tblLayout w:type="fixed"/>
        <w:tblCellMar>
          <w:top w:w="0" w:type="dxa"/>
          <w:left w:w="57" w:type="dxa"/>
          <w:bottom w:w="0" w:type="dxa"/>
          <w:right w:w="57" w:type="dxa"/>
        </w:tblCellMar>
      </w:tblPr>
      <w:tblGrid>
        <w:gridCol w:w="1063"/>
        <w:gridCol w:w="1385"/>
        <w:gridCol w:w="1053"/>
        <w:gridCol w:w="2276"/>
        <w:gridCol w:w="885"/>
        <w:gridCol w:w="1360"/>
        <w:gridCol w:w="2580"/>
        <w:gridCol w:w="559"/>
        <w:gridCol w:w="781"/>
        <w:gridCol w:w="518"/>
        <w:gridCol w:w="834"/>
        <w:gridCol w:w="606"/>
        <w:gridCol w:w="240"/>
      </w:tblGrid>
      <w:tr>
        <w:tblPrEx>
          <w:tblCellMar>
            <w:top w:w="0" w:type="dxa"/>
            <w:left w:w="57" w:type="dxa"/>
            <w:bottom w:w="0" w:type="dxa"/>
            <w:right w:w="57" w:type="dxa"/>
          </w:tblCellMar>
        </w:tblPrEx>
        <w:trPr>
          <w:gridAfter w:val="1"/>
          <w:wAfter w:w="240" w:type="dxa"/>
          <w:trHeight w:val="552" w:hRule="atLeast"/>
        </w:trPr>
        <w:tc>
          <w:tcPr>
            <w:tcW w:w="13900" w:type="dxa"/>
            <w:gridSpan w:val="12"/>
            <w:tcBorders>
              <w:top w:val="single" w:color="FFFFFF" w:sz="4" w:space="0"/>
              <w:left w:val="single" w:color="FFFFFF" w:sz="4" w:space="0"/>
              <w:bottom w:val="single" w:color="FFFFFF" w:sz="4" w:space="0"/>
              <w:right w:val="single" w:color="FFFFFF" w:sz="4" w:space="0"/>
            </w:tcBorders>
            <w:vAlign w:val="center"/>
          </w:tcPr>
          <w:p>
            <w:pPr>
              <w:widowControl/>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2022年部门预算项目支出绩效目标表</w:t>
            </w:r>
          </w:p>
        </w:tc>
      </w:tr>
      <w:tr>
        <w:tblPrEx>
          <w:tblCellMar>
            <w:top w:w="0" w:type="dxa"/>
            <w:left w:w="57" w:type="dxa"/>
            <w:bottom w:w="0" w:type="dxa"/>
            <w:right w:w="57" w:type="dxa"/>
          </w:tblCellMar>
        </w:tblPrEx>
        <w:trPr>
          <w:gridAfter w:val="1"/>
          <w:wAfter w:w="240" w:type="dxa"/>
          <w:trHeight w:val="362" w:hRule="atLeast"/>
        </w:trPr>
        <w:tc>
          <w:tcPr>
            <w:tcW w:w="5777" w:type="dxa"/>
            <w:gridSpan w:val="4"/>
            <w:tcBorders>
              <w:top w:val="single" w:color="FFFFFF" w:sz="4" w:space="0"/>
              <w:left w:val="single" w:color="FFFFFF" w:sz="4" w:space="0"/>
              <w:bottom w:val="single" w:color="auto" w:sz="4" w:space="0"/>
              <w:right w:val="single" w:color="FFFFFF"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885" w:type="dxa"/>
            <w:tcBorders>
              <w:top w:val="nil"/>
              <w:left w:val="nil"/>
              <w:bottom w:val="single" w:color="auto" w:sz="4" w:space="0"/>
              <w:right w:val="single" w:color="FFFFFF"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360" w:type="dxa"/>
            <w:tcBorders>
              <w:top w:val="nil"/>
              <w:left w:val="nil"/>
              <w:bottom w:val="single" w:color="auto" w:sz="4" w:space="0"/>
              <w:right w:val="single" w:color="FFFFFF"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2580" w:type="dxa"/>
            <w:tcBorders>
              <w:top w:val="nil"/>
              <w:left w:val="nil"/>
              <w:bottom w:val="single" w:color="auto" w:sz="4" w:space="0"/>
              <w:right w:val="single" w:color="FFFFFF"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559" w:type="dxa"/>
            <w:tcBorders>
              <w:top w:val="nil"/>
              <w:left w:val="nil"/>
              <w:bottom w:val="single" w:color="auto" w:sz="4" w:space="0"/>
              <w:right w:val="single" w:color="FFFFFF"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781" w:type="dxa"/>
            <w:tcBorders>
              <w:top w:val="nil"/>
              <w:left w:val="nil"/>
              <w:bottom w:val="single" w:color="auto" w:sz="4" w:space="0"/>
              <w:right w:val="single" w:color="FFFFFF"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958" w:type="dxa"/>
            <w:gridSpan w:val="3"/>
            <w:tcBorders>
              <w:top w:val="single" w:color="FFFFFF" w:sz="4" w:space="0"/>
              <w:left w:val="nil"/>
              <w:bottom w:val="single" w:color="auto" w:sz="4" w:space="0"/>
              <w:right w:val="single" w:color="FFFFFF" w:sz="4" w:space="0"/>
            </w:tcBorders>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金额单位：元</w:t>
            </w:r>
          </w:p>
        </w:tc>
      </w:tr>
      <w:tr>
        <w:tblPrEx>
          <w:tblCellMar>
            <w:top w:w="0" w:type="dxa"/>
            <w:left w:w="57" w:type="dxa"/>
            <w:bottom w:w="0" w:type="dxa"/>
            <w:right w:w="57" w:type="dxa"/>
          </w:tblCellMar>
        </w:tblPrEx>
        <w:trPr>
          <w:trHeight w:val="574" w:hRule="atLeast"/>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单位名称</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预算数</w:t>
            </w:r>
          </w:p>
        </w:tc>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年度目标</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指标性质</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度量单位</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tc>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指标方向性</w:t>
            </w:r>
          </w:p>
        </w:tc>
      </w:tr>
      <w:tr>
        <w:tblPrEx>
          <w:tblCellMar>
            <w:top w:w="0" w:type="dxa"/>
            <w:left w:w="57" w:type="dxa"/>
            <w:bottom w:w="0" w:type="dxa"/>
            <w:right w:w="57" w:type="dxa"/>
          </w:tblCellMar>
        </w:tblPrEx>
        <w:trPr>
          <w:trHeight w:val="292"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外来入侵物种普查实施方案与松材线虫病防治</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406001-华蓥市林业发展中心</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300,000</w:t>
            </w:r>
          </w:p>
        </w:tc>
        <w:tc>
          <w:tcPr>
            <w:tcW w:w="2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开展日常监测、春秋季普查,松材线虫病防控宣传与培训,完成15000株枯（病）死松树除治。控制松材线虫病疫情蔓延,保护森林资源安全,完成外来入侵物种面上调查.</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宣传、培训</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次</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417"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松材线虫病防控技术得到提高</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29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监测、普查</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74"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松材线虫病防治和外来入侵物种普查</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226000</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413"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枯死松树除治</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15000</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株</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74" w:hRule="atLeast"/>
        </w:trPr>
        <w:tc>
          <w:tcPr>
            <w:tcW w:w="1063"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林长制</w:t>
            </w:r>
          </w:p>
        </w:tc>
        <w:tc>
          <w:tcPr>
            <w:tcW w:w="1385"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406001-华蓥市林业发展中心</w:t>
            </w:r>
          </w:p>
        </w:tc>
        <w:tc>
          <w:tcPr>
            <w:tcW w:w="1053" w:type="dxa"/>
            <w:vMerge w:val="restart"/>
            <w:tcBorders>
              <w:top w:val="single" w:color="auto" w:sz="4" w:space="0"/>
              <w:left w:val="single" w:color="auto" w:sz="4" w:space="0"/>
              <w:right w:val="single" w:color="auto" w:sz="4" w:space="0"/>
            </w:tcBorders>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400,000</w:t>
            </w:r>
          </w:p>
        </w:tc>
        <w:tc>
          <w:tcPr>
            <w:tcW w:w="2276" w:type="dxa"/>
            <w:vMerge w:val="restart"/>
            <w:tcBorders>
              <w:top w:val="single" w:color="auto" w:sz="4" w:space="0"/>
              <w:left w:val="single" w:color="auto" w:sz="4" w:space="0"/>
              <w:right w:val="single" w:color="auto" w:sz="4"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建立以党政领导负责制为核心的保护发展森林资源责任体系,构建起权责明确、监管严格、运行高效、保障有力的森林资源保护发展机制；全市林地、湿地等生态用地得到有效保护,全面提升森林资源的生态、经济、社会功能。责任体系更加完备,林地保有量、湿地保有量、森林覆盖率等保持稳定,生态系统功能显著提升,基本实现森林治理体系和治理能力现代化。</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林业方针政策及森林法律法规通过林长制得到有效宣传</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427" w:hRule="atLeast"/>
        </w:trPr>
        <w:tc>
          <w:tcPr>
            <w:tcW w:w="1063"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可持续发展指标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提高林长制公众知晓度</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74" w:hRule="atLeast"/>
        </w:trPr>
        <w:tc>
          <w:tcPr>
            <w:tcW w:w="1063"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林长组织体系正常有效开展工作</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292" w:hRule="atLeast"/>
        </w:trPr>
        <w:tc>
          <w:tcPr>
            <w:tcW w:w="1063"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时间</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2022</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417" w:hRule="atLeast"/>
        </w:trPr>
        <w:tc>
          <w:tcPr>
            <w:tcW w:w="106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提高森林覆盖率</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53.18</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620"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森林防火</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406001-华蓥市林业发展中心</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848,360</w:t>
            </w:r>
          </w:p>
        </w:tc>
        <w:tc>
          <w:tcPr>
            <w:tcW w:w="2276"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为贯彻落实省、市森林防灭专项整治工作要求,面向全市做好森林火灾的预防、扑救及其保障工作,围绕应急</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满意度指标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辖区内无森林火灾</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29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防火地方专业队伍</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29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隔离带建设</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150</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公里</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74" w:hRule="atLeast"/>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单位名称</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预算数</w:t>
            </w:r>
          </w:p>
        </w:tc>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年度目标</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指标性质</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度量单位</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tc>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指标方向性</w:t>
            </w:r>
          </w:p>
        </w:tc>
      </w:tr>
      <w:tr>
        <w:tblPrEx>
          <w:tblCellMar>
            <w:top w:w="0" w:type="dxa"/>
            <w:left w:w="57" w:type="dxa"/>
            <w:bottom w:w="0" w:type="dxa"/>
            <w:right w:w="57" w:type="dxa"/>
          </w:tblCellMar>
        </w:tblPrEx>
        <w:trPr>
          <w:trHeight w:val="292"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18"/>
                <w:szCs w:val="18"/>
              </w:rPr>
            </w:pPr>
            <w:r>
              <w:rPr>
                <w:rFonts w:hint="eastAsia" w:ascii="宋体" w:hAnsi="宋体" w:eastAsia="宋体" w:cs="宋体"/>
                <w:kern w:val="0"/>
                <w:sz w:val="18"/>
                <w:szCs w:val="18"/>
              </w:rPr>
              <w:t>处置突发森林火灾,消除隐患,全面提升我市森林火灾防控能力,有效遏制森林火</w:t>
            </w:r>
          </w:p>
          <w:p>
            <w:pPr>
              <w:spacing w:line="300" w:lineRule="exact"/>
              <w:jc w:val="left"/>
              <w:rPr>
                <w:rFonts w:ascii="宋体" w:hAnsi="宋体" w:eastAsia="宋体" w:cs="宋体"/>
                <w:kern w:val="0"/>
                <w:sz w:val="18"/>
                <w:szCs w:val="18"/>
              </w:rPr>
            </w:pPr>
            <w:r>
              <w:rPr>
                <w:rFonts w:hint="eastAsia" w:ascii="宋体" w:hAnsi="宋体" w:eastAsia="宋体" w:cs="宋体"/>
                <w:kern w:val="0"/>
                <w:sz w:val="18"/>
                <w:szCs w:val="18"/>
              </w:rPr>
              <w:t>灾发生,有效减少森林火灾发生率,减少森林火灾损失,需加强专业扑火队伍建设、稳定森林防火巡护和值守人员队伍、加强防火物资储备、切实清除坟头周边杂草、强化森林防火宣传等。组建森林防火专业队伍开展森林防火宣传重点时段蹲点值班巡护和森林防火巡护.</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巡山护林员</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112</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83"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森林防灭火成本</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4953600</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292"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森林病虫害监测及除治</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406403-华蓥市东方红国有林场</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148,500</w:t>
            </w:r>
          </w:p>
        </w:tc>
        <w:tc>
          <w:tcPr>
            <w:tcW w:w="2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18"/>
                <w:szCs w:val="18"/>
              </w:rPr>
            </w:pPr>
            <w:r>
              <w:rPr>
                <w:rFonts w:hint="eastAsia" w:ascii="宋体" w:hAnsi="宋体" w:eastAsia="宋体" w:cs="宋体"/>
                <w:kern w:val="0"/>
                <w:sz w:val="18"/>
                <w:szCs w:val="18"/>
              </w:rPr>
              <w:t>开展各类病虫害等有害生物的监测调查,定期开展森林病虫害预测预报,力争将病虫害消灭在萌芽初期,特别是针对天牛、松毛虫等的监测工作,同时加强枯死木清理工作,同时制定防治方案,果断采取措施,控制病虫害,防止病虫害大面积发生和蔓延,保护我场森林资源。该项目是社会公益性和非盈利性项目。该项目实施后,能显著增强我场森林资源安全,确保我场不发生规模以上森林病虫害。</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森林资源调查覆盖率</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74"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森林保有量</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0.22</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万公顷</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74"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可持续发展指标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森林后续生长存活率</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29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林业有害生物成灾率</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反向指标</w:t>
            </w:r>
          </w:p>
        </w:tc>
      </w:tr>
      <w:tr>
        <w:tblPrEx>
          <w:tblCellMar>
            <w:top w:w="0" w:type="dxa"/>
            <w:left w:w="57" w:type="dxa"/>
            <w:bottom w:w="0" w:type="dxa"/>
            <w:right w:w="57" w:type="dxa"/>
          </w:tblCellMar>
        </w:tblPrEx>
        <w:trPr>
          <w:trHeight w:val="2513"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满意度指标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读者满意度指标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满意度</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74" w:hRule="atLeast"/>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单位名称</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预算数</w:t>
            </w:r>
          </w:p>
        </w:tc>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年度目标</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指标性质</w:t>
            </w:r>
          </w:p>
        </w:tc>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度量单位</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权重</w:t>
            </w:r>
          </w:p>
        </w:tc>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指标方向性</w:t>
            </w:r>
          </w:p>
        </w:tc>
      </w:tr>
      <w:tr>
        <w:tblPrEx>
          <w:tblCellMar>
            <w:top w:w="0" w:type="dxa"/>
            <w:left w:w="57" w:type="dxa"/>
            <w:bottom w:w="0" w:type="dxa"/>
            <w:right w:w="57" w:type="dxa"/>
          </w:tblCellMar>
        </w:tblPrEx>
        <w:trPr>
          <w:trHeight w:val="41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林场森林防灭火</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406404-华蓥市天池国有林场</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148,500</w:t>
            </w:r>
          </w:p>
        </w:tc>
        <w:tc>
          <w:tcPr>
            <w:tcW w:w="2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林区无森林火灾发生</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保障国有林防火安全</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定性</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好坏</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亩</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292"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森林防火安全检查覆盖率</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70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74"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森林资源良性发展</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定性</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优良中低差</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亩</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74" w:hRule="atLeast"/>
        </w:trPr>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lang w:val="en-US" w:eastAsia="zh-CN" w:bidi="ar-SA"/>
              </w:rPr>
            </w:pPr>
            <w:r>
              <w:rPr>
                <w:rFonts w:hint="eastAsia" w:ascii="宋体" w:hAnsi="宋体" w:eastAsia="宋体" w:cs="宋体"/>
                <w:b/>
                <w:bCs/>
                <w:kern w:val="0"/>
                <w:sz w:val="18"/>
                <w:szCs w:val="18"/>
              </w:rPr>
              <w:t>项目名称</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lang w:val="en-US" w:eastAsia="zh-CN" w:bidi="ar-SA"/>
              </w:rPr>
            </w:pPr>
            <w:r>
              <w:rPr>
                <w:rFonts w:hint="eastAsia" w:ascii="宋体" w:hAnsi="宋体" w:eastAsia="宋体" w:cs="宋体"/>
                <w:b/>
                <w:bCs/>
                <w:kern w:val="0"/>
                <w:sz w:val="18"/>
                <w:szCs w:val="18"/>
              </w:rPr>
              <w:t>单位名称</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lang w:val="en-US" w:eastAsia="zh-CN" w:bidi="ar-SA"/>
              </w:rPr>
            </w:pPr>
            <w:r>
              <w:rPr>
                <w:rFonts w:hint="eastAsia" w:ascii="宋体" w:hAnsi="宋体" w:eastAsia="宋体" w:cs="宋体"/>
                <w:b/>
                <w:bCs/>
                <w:kern w:val="0"/>
                <w:sz w:val="18"/>
                <w:szCs w:val="18"/>
              </w:rPr>
              <w:t>预算数</w:t>
            </w:r>
          </w:p>
        </w:tc>
        <w:tc>
          <w:tcPr>
            <w:tcW w:w="2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lang w:val="en-US" w:eastAsia="zh-CN" w:bidi="ar-SA"/>
              </w:rPr>
            </w:pPr>
            <w:r>
              <w:rPr>
                <w:rFonts w:hint="eastAsia" w:ascii="宋体" w:hAnsi="宋体" w:eastAsia="宋体" w:cs="宋体"/>
                <w:b/>
                <w:bCs/>
                <w:kern w:val="0"/>
                <w:sz w:val="18"/>
                <w:szCs w:val="18"/>
              </w:rPr>
              <w:t>年度目标</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rPr>
              <w:t>一级指标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rPr>
              <w:t>二级指标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rPr>
              <w:t>三级指标</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rPr>
              <w:t>指标性质</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rPr>
              <w:t>指标值</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rPr>
              <w:t>度量单位</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rPr>
              <w:t>权重</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rPr>
              <w:t>指标方向性</w:t>
            </w:r>
          </w:p>
        </w:tc>
      </w:tr>
      <w:tr>
        <w:tblPrEx>
          <w:tblCellMar>
            <w:top w:w="0" w:type="dxa"/>
            <w:left w:w="57" w:type="dxa"/>
            <w:bottom w:w="0" w:type="dxa"/>
            <w:right w:w="57" w:type="dxa"/>
          </w:tblCellMar>
        </w:tblPrEx>
        <w:trPr>
          <w:trHeight w:val="574" w:hRule="atLeast"/>
        </w:trPr>
        <w:tc>
          <w:tcPr>
            <w:tcW w:w="1063"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农业生产发展</w:t>
            </w:r>
          </w:p>
        </w:tc>
        <w:tc>
          <w:tcPr>
            <w:tcW w:w="1385" w:type="dxa"/>
            <w:vMerge w:val="restart"/>
            <w:tcBorders>
              <w:top w:val="single" w:color="auto" w:sz="4" w:space="0"/>
              <w:left w:val="single" w:color="auto" w:sz="4" w:space="0"/>
              <w:right w:val="single" w:color="auto" w:sz="4" w:space="0"/>
            </w:tcBorders>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406401-华蓥市林业发展中心</w:t>
            </w:r>
          </w:p>
        </w:tc>
        <w:tc>
          <w:tcPr>
            <w:tcW w:w="1053" w:type="dxa"/>
            <w:vMerge w:val="restart"/>
            <w:tcBorders>
              <w:top w:val="single" w:color="auto" w:sz="4" w:space="0"/>
              <w:left w:val="single" w:color="auto" w:sz="4" w:space="0"/>
              <w:right w:val="single" w:color="auto" w:sz="4" w:space="0"/>
            </w:tcBorders>
            <w:vAlign w:val="center"/>
          </w:tcPr>
          <w:p>
            <w:pPr>
              <w:widowControl/>
              <w:jc w:val="right"/>
              <w:rPr>
                <w:rFonts w:hint="default" w:ascii="宋体" w:hAnsi="宋体" w:eastAsia="宋体" w:cs="宋体"/>
                <w:kern w:val="0"/>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bookmarkStart w:id="0" w:name="_GoBack"/>
            <w:bookmarkEnd w:id="0"/>
            <w:r>
              <w:rPr>
                <w:rFonts w:hint="eastAsia" w:asciiTheme="minorEastAsia" w:hAnsiTheme="minorEastAsia" w:eastAsiaTheme="minorEastAsia" w:cstheme="minorEastAsia"/>
                <w:i w:val="0"/>
                <w:iCs w:val="0"/>
                <w:color w:val="000000"/>
                <w:kern w:val="0"/>
                <w:sz w:val="18"/>
                <w:szCs w:val="18"/>
                <w:u w:val="none"/>
                <w:lang w:val="en-US" w:eastAsia="zh-CN" w:bidi="ar"/>
              </w:rPr>
              <w:t>0,000</w:t>
            </w:r>
          </w:p>
        </w:tc>
        <w:tc>
          <w:tcPr>
            <w:tcW w:w="2276" w:type="dxa"/>
            <w:vMerge w:val="restart"/>
            <w:tcBorders>
              <w:top w:val="single" w:color="auto" w:sz="4" w:space="0"/>
              <w:left w:val="single" w:color="auto" w:sz="4" w:space="0"/>
              <w:right w:val="single" w:color="auto" w:sz="4" w:space="0"/>
            </w:tcBorders>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油樟现代林业园区和花卉林业园区建设</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数量指标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油樟产业园区和花卉产业园区个数</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定性</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2个</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个</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74" w:hRule="atLeast"/>
        </w:trPr>
        <w:tc>
          <w:tcPr>
            <w:tcW w:w="1063"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p>
        </w:tc>
        <w:tc>
          <w:tcPr>
            <w:tcW w:w="1385"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p>
        </w:tc>
        <w:tc>
          <w:tcPr>
            <w:tcW w:w="1053"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p>
        </w:tc>
        <w:tc>
          <w:tcPr>
            <w:tcW w:w="2276" w:type="dxa"/>
            <w:vMerge w:val="continue"/>
            <w:tcBorders>
              <w:left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18"/>
                <w:szCs w:val="18"/>
                <w:lang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产出指标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成本指标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油樟产业园区和花卉产业园区成本</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定性</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50万元</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万元</w:t>
            </w:r>
            <w:r>
              <w:rPr>
                <w:rFonts w:hint="eastAsia" w:ascii="宋体" w:hAnsi="宋体" w:eastAsia="宋体" w:cs="宋体"/>
                <w:kern w:val="0"/>
                <w:sz w:val="18"/>
                <w:szCs w:val="18"/>
                <w:lang w:val="en-US" w:eastAsia="zh-CN"/>
              </w:rPr>
              <w:t>/个</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正向指标</w:t>
            </w:r>
          </w:p>
        </w:tc>
      </w:tr>
      <w:tr>
        <w:tblPrEx>
          <w:tblCellMar>
            <w:top w:w="0" w:type="dxa"/>
            <w:left w:w="57" w:type="dxa"/>
            <w:bottom w:w="0" w:type="dxa"/>
            <w:right w:w="57" w:type="dxa"/>
          </w:tblCellMar>
        </w:tblPrEx>
        <w:trPr>
          <w:trHeight w:val="574" w:hRule="atLeast"/>
        </w:trPr>
        <w:tc>
          <w:tcPr>
            <w:tcW w:w="1063"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p>
        </w:tc>
        <w:tc>
          <w:tcPr>
            <w:tcW w:w="1385"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p>
        </w:tc>
        <w:tc>
          <w:tcPr>
            <w:tcW w:w="1053"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p>
        </w:tc>
        <w:tc>
          <w:tcPr>
            <w:tcW w:w="2276"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18"/>
                <w:szCs w:val="18"/>
                <w:lang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满意度指标</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群众满意度</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园区群众</w:t>
            </w: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正向指标</w:t>
            </w:r>
          </w:p>
        </w:tc>
      </w:tr>
    </w:tbl>
    <w:p>
      <w:pPr>
        <w:widowControl/>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6291"/>
    <w:rsid w:val="00122CC2"/>
    <w:rsid w:val="00C46291"/>
    <w:rsid w:val="19105CD2"/>
    <w:rsid w:val="2EDD412D"/>
    <w:rsid w:val="41E16BA8"/>
    <w:rsid w:val="46F96400"/>
    <w:rsid w:val="48CF1D87"/>
    <w:rsid w:val="53B37937"/>
    <w:rsid w:val="55F552E0"/>
    <w:rsid w:val="567518C7"/>
    <w:rsid w:val="640F1388"/>
    <w:rsid w:val="6BED0A2E"/>
    <w:rsid w:val="7036571F"/>
    <w:rsid w:val="7A23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459</Words>
  <Characters>2620</Characters>
  <Lines>21</Lines>
  <Paragraphs>6</Paragraphs>
  <TotalTime>9</TotalTime>
  <ScaleCrop>false</ScaleCrop>
  <LinksUpToDate>false</LinksUpToDate>
  <CharactersWithSpaces>3073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2022-03-14T07:50:00Z</dcterms:created>
  <dc:creator>Administrator</dc:creator>
  <cp:lastModifiedBy>(๑˘ ³˘๑)•*¨*•.¸¸</cp:lastModifiedBy>
  <dcterms:modified xsi:type="dcterms:W3CDTF">2022-03-22T02:21:18Z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CECEC04112604C4CB04D79161D1593E2</vt:lpwstr>
  </property>
</Properties>
</file>